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556D" w14:textId="2A3313A5" w:rsidR="00803C9C" w:rsidRDefault="005B23A1" w:rsidP="00CF7116">
      <w:pPr>
        <w:spacing w:before="240" w:line="276" w:lineRule="auto"/>
        <w:rPr>
          <w:rFonts w:ascii="Calibri" w:hAnsi="Calibri"/>
          <w:b/>
          <w:color w:val="000000" w:themeColor="text1"/>
          <w:sz w:val="24"/>
          <w:szCs w:val="24"/>
        </w:rPr>
      </w:pPr>
      <w:bookmarkStart w:id="0" w:name="_Hlk112927742"/>
      <w:r>
        <w:rPr>
          <w:rFonts w:ascii="Calibri" w:hAnsi="Calibri"/>
          <w:b/>
          <w:color w:val="000000" w:themeColor="text1"/>
          <w:sz w:val="24"/>
          <w:szCs w:val="24"/>
        </w:rPr>
        <w:t>Guidelines for the management of norovirus outbreaks in acute and community health and social care settings</w:t>
      </w:r>
    </w:p>
    <w:bookmarkEnd w:id="0"/>
    <w:p w14:paraId="44CB7B0B" w14:textId="44585F89" w:rsidR="00867819" w:rsidRDefault="00867819" w:rsidP="00867819">
      <w:pPr>
        <w:pStyle w:val="xmsonormal"/>
      </w:pPr>
      <w:r>
        <w:t>*Dr Paul R. Chadwick,</w:t>
      </w:r>
      <w:r w:rsidRPr="00867819">
        <w:rPr>
          <w:vertAlign w:val="superscript"/>
        </w:rPr>
        <w:t>1,2</w:t>
      </w:r>
      <w:r>
        <w:t xml:space="preserve"> </w:t>
      </w:r>
      <w:r w:rsidR="00731C21" w:rsidRPr="00150969">
        <w:rPr>
          <w:rFonts w:cstheme="minorHAnsi"/>
          <w:color w:val="000000" w:themeColor="text1"/>
          <w:sz w:val="24"/>
          <w:szCs w:val="24"/>
          <w:vertAlign w:val="superscript"/>
        </w:rPr>
        <w:sym w:font="Wingdings" w:char="F0A1"/>
      </w:r>
      <w:r>
        <w:t>Dr Eamonn Trainor,</w:t>
      </w:r>
      <w:r w:rsidRPr="00867819">
        <w:rPr>
          <w:vertAlign w:val="superscript"/>
        </w:rPr>
        <w:t>3</w:t>
      </w:r>
      <w:r>
        <w:t xml:space="preserve"> Dr Gemma L. Marsden,</w:t>
      </w:r>
      <w:r w:rsidRPr="00867819">
        <w:rPr>
          <w:vertAlign w:val="superscript"/>
        </w:rPr>
        <w:t>2,4</w:t>
      </w:r>
      <w:r>
        <w:t xml:space="preserve"> Samuel Mills,</w:t>
      </w:r>
      <w:r w:rsidRPr="00867819">
        <w:rPr>
          <w:vertAlign w:val="superscript"/>
        </w:rPr>
        <w:t>5,6</w:t>
      </w:r>
      <w:r>
        <w:t xml:space="preserve"> Claire Chadwick MBE,</w:t>
      </w:r>
      <w:r w:rsidRPr="00867819">
        <w:rPr>
          <w:vertAlign w:val="superscript"/>
        </w:rPr>
        <w:t>7</w:t>
      </w:r>
      <w:r>
        <w:t xml:space="preserve"> Prof. Sarah J. O’Brien,</w:t>
      </w:r>
      <w:r w:rsidRPr="00867819">
        <w:rPr>
          <w:vertAlign w:val="superscript"/>
        </w:rPr>
        <w:t>8</w:t>
      </w:r>
      <w:r>
        <w:t xml:space="preserve"> Dr Cariad M. Evans,</w:t>
      </w:r>
      <w:r w:rsidRPr="00867819">
        <w:rPr>
          <w:vertAlign w:val="superscript"/>
        </w:rPr>
        <w:t>9</w:t>
      </w:r>
      <w:r>
        <w:t xml:space="preserve"> Dr Claire Mullender,</w:t>
      </w:r>
      <w:r w:rsidRPr="00867819">
        <w:rPr>
          <w:vertAlign w:val="superscript"/>
        </w:rPr>
        <w:t>5,10,11,12</w:t>
      </w:r>
      <w:r>
        <w:t xml:space="preserve"> Pixy Strazds,</w:t>
      </w:r>
      <w:r w:rsidRPr="00867819">
        <w:rPr>
          <w:vertAlign w:val="superscript"/>
        </w:rPr>
        <w:t>5,13</w:t>
      </w:r>
      <w:r>
        <w:t xml:space="preserve"> Sarah Turner,</w:t>
      </w:r>
      <w:r w:rsidRPr="00867819">
        <w:rPr>
          <w:vertAlign w:val="superscript"/>
        </w:rPr>
        <w:t>5,14</w:t>
      </w:r>
      <w:r>
        <w:t xml:space="preserve"> Valya Weston,</w:t>
      </w:r>
      <w:r w:rsidRPr="00867819">
        <w:rPr>
          <w:vertAlign w:val="superscript"/>
        </w:rPr>
        <w:t>2,5,15</w:t>
      </w:r>
      <w:r>
        <w:t xml:space="preserve"> </w:t>
      </w:r>
      <w:r w:rsidR="00935654">
        <w:t xml:space="preserve">Dr </w:t>
      </w:r>
      <w:r>
        <w:t xml:space="preserve">Michelle </w:t>
      </w:r>
      <w:r w:rsidR="00935654">
        <w:t xml:space="preserve">S. </w:t>
      </w:r>
      <w:r>
        <w:t>Toleman,</w:t>
      </w:r>
      <w:r w:rsidRPr="00867819">
        <w:rPr>
          <w:vertAlign w:val="superscript"/>
        </w:rPr>
        <w:t>2,16</w:t>
      </w:r>
      <w:r>
        <w:t xml:space="preserve"> Clara de Barros,</w:t>
      </w:r>
      <w:r w:rsidRPr="00867819">
        <w:rPr>
          <w:vertAlign w:val="superscript"/>
        </w:rPr>
        <w:t>17</w:t>
      </w:r>
      <w:r>
        <w:t xml:space="preserve"> </w:t>
      </w:r>
      <w:proofErr w:type="spellStart"/>
      <w:r>
        <w:t>Graziella</w:t>
      </w:r>
      <w:proofErr w:type="spellEnd"/>
      <w:r>
        <w:t xml:space="preserve"> Kontkowski,</w:t>
      </w:r>
      <w:r w:rsidRPr="00867819">
        <w:rPr>
          <w:vertAlign w:val="superscript"/>
        </w:rPr>
        <w:t>17</w:t>
      </w:r>
      <w:r>
        <w:t xml:space="preserve"> </w:t>
      </w:r>
      <w:r w:rsidR="00731C21" w:rsidRPr="00150969">
        <w:rPr>
          <w:rFonts w:cstheme="minorHAnsi"/>
          <w:color w:val="000000" w:themeColor="text1"/>
          <w:sz w:val="24"/>
          <w:szCs w:val="24"/>
          <w:vertAlign w:val="superscript"/>
        </w:rPr>
        <w:sym w:font="Wingdings" w:char="F0A8"/>
      </w:r>
      <w:r>
        <w:t>Dr Aggie Bak</w:t>
      </w:r>
      <w:r w:rsidRPr="00867819">
        <w:rPr>
          <w:vertAlign w:val="superscript"/>
        </w:rPr>
        <w:t>2</w:t>
      </w:r>
    </w:p>
    <w:p w14:paraId="2F66CA45" w14:textId="77777777" w:rsidR="00867819" w:rsidRDefault="00867819" w:rsidP="00867819">
      <w:pPr>
        <w:pStyle w:val="xmsonormal"/>
      </w:pPr>
    </w:p>
    <w:p w14:paraId="4F20BFFC" w14:textId="77777777" w:rsidR="00867819" w:rsidRPr="00150969" w:rsidRDefault="00867819" w:rsidP="00867819">
      <w:pPr>
        <w:jc w:val="both"/>
        <w:rPr>
          <w:rFonts w:eastAsia="Times New Roman" w:cstheme="minorHAnsi"/>
          <w:color w:val="000000" w:themeColor="text1"/>
          <w:sz w:val="24"/>
          <w:szCs w:val="24"/>
        </w:rPr>
      </w:pPr>
      <w:r w:rsidRPr="00150969">
        <w:rPr>
          <w:rFonts w:eastAsia="Times New Roman" w:cstheme="minorHAnsi"/>
          <w:color w:val="000000" w:themeColor="text1"/>
          <w:sz w:val="24"/>
          <w:szCs w:val="24"/>
        </w:rPr>
        <w:t>*</w:t>
      </w:r>
      <w:r>
        <w:rPr>
          <w:rFonts w:eastAsia="Times New Roman" w:cstheme="minorHAnsi"/>
          <w:color w:val="000000" w:themeColor="text1"/>
          <w:sz w:val="24"/>
          <w:szCs w:val="24"/>
        </w:rPr>
        <w:t>F</w:t>
      </w:r>
      <w:r w:rsidRPr="00150969">
        <w:rPr>
          <w:rFonts w:eastAsia="Times New Roman" w:cstheme="minorHAnsi"/>
          <w:color w:val="000000" w:themeColor="text1"/>
          <w:sz w:val="24"/>
          <w:szCs w:val="24"/>
        </w:rPr>
        <w:t>irst author.</w:t>
      </w:r>
      <w:r>
        <w:rPr>
          <w:rFonts w:eastAsia="Times New Roman" w:cstheme="minorHAnsi"/>
          <w:color w:val="000000" w:themeColor="text1"/>
          <w:sz w:val="24"/>
          <w:szCs w:val="24"/>
        </w:rPr>
        <w:t xml:space="preserve"> </w:t>
      </w:r>
    </w:p>
    <w:p w14:paraId="36720841" w14:textId="77777777" w:rsidR="00867819" w:rsidRPr="00150969" w:rsidRDefault="00867819" w:rsidP="00867819">
      <w:pPr>
        <w:jc w:val="both"/>
        <w:rPr>
          <w:rFonts w:cstheme="minorHAnsi"/>
          <w:color w:val="000000" w:themeColor="text1"/>
          <w:sz w:val="24"/>
          <w:szCs w:val="24"/>
        </w:rPr>
      </w:pPr>
      <w:r w:rsidRPr="00150969">
        <w:rPr>
          <w:rFonts w:cstheme="minorHAnsi"/>
          <w:color w:val="000000" w:themeColor="text1"/>
          <w:sz w:val="24"/>
          <w:szCs w:val="24"/>
          <w:vertAlign w:val="superscript"/>
        </w:rPr>
        <w:sym w:font="Wingdings" w:char="F0A1"/>
      </w:r>
      <w:r>
        <w:rPr>
          <w:rFonts w:cstheme="minorHAnsi"/>
          <w:color w:val="000000" w:themeColor="text1"/>
          <w:sz w:val="24"/>
          <w:szCs w:val="24"/>
        </w:rPr>
        <w:t>Corresponding (clinical)</w:t>
      </w:r>
      <w:r w:rsidRPr="00150969">
        <w:rPr>
          <w:rFonts w:cstheme="minorHAnsi"/>
          <w:color w:val="000000" w:themeColor="text1"/>
          <w:sz w:val="24"/>
          <w:szCs w:val="24"/>
        </w:rPr>
        <w:t xml:space="preserve"> author.</w:t>
      </w:r>
    </w:p>
    <w:p w14:paraId="4FB37A0F" w14:textId="77777777" w:rsidR="00867819" w:rsidRPr="00150969" w:rsidRDefault="00867819" w:rsidP="00867819">
      <w:pPr>
        <w:jc w:val="both"/>
        <w:rPr>
          <w:rFonts w:cstheme="minorHAnsi"/>
          <w:color w:val="000000" w:themeColor="text1"/>
          <w:sz w:val="24"/>
          <w:szCs w:val="24"/>
        </w:rPr>
      </w:pPr>
      <w:r w:rsidRPr="00150969">
        <w:rPr>
          <w:rFonts w:cstheme="minorHAnsi"/>
          <w:color w:val="000000" w:themeColor="text1"/>
          <w:sz w:val="24"/>
          <w:szCs w:val="24"/>
          <w:vertAlign w:val="superscript"/>
        </w:rPr>
        <w:sym w:font="Wingdings" w:char="F0A8"/>
      </w:r>
      <w:r w:rsidRPr="00150969">
        <w:rPr>
          <w:rFonts w:cstheme="minorHAnsi"/>
          <w:color w:val="000000" w:themeColor="text1"/>
          <w:sz w:val="24"/>
          <w:szCs w:val="24"/>
        </w:rPr>
        <w:t xml:space="preserve">Corresponding </w:t>
      </w:r>
      <w:r>
        <w:rPr>
          <w:rFonts w:cstheme="minorHAnsi"/>
          <w:color w:val="000000" w:themeColor="text1"/>
          <w:sz w:val="24"/>
          <w:szCs w:val="24"/>
        </w:rPr>
        <w:t xml:space="preserve">(administrative) </w:t>
      </w:r>
      <w:r w:rsidRPr="00150969">
        <w:rPr>
          <w:rFonts w:cstheme="minorHAnsi"/>
          <w:color w:val="000000" w:themeColor="text1"/>
          <w:sz w:val="24"/>
          <w:szCs w:val="24"/>
        </w:rPr>
        <w:t xml:space="preserve">author. </w:t>
      </w:r>
    </w:p>
    <w:p w14:paraId="335E6020" w14:textId="77777777" w:rsidR="00867819" w:rsidRPr="00150969" w:rsidRDefault="00867819" w:rsidP="00867819">
      <w:pPr>
        <w:jc w:val="both"/>
        <w:rPr>
          <w:rFonts w:cstheme="minorHAnsi"/>
          <w:color w:val="000000" w:themeColor="text1"/>
          <w:sz w:val="24"/>
          <w:szCs w:val="24"/>
        </w:rPr>
      </w:pPr>
      <w:r w:rsidRPr="00150969">
        <w:rPr>
          <w:rFonts w:cstheme="minorHAnsi"/>
          <w:color w:val="000000" w:themeColor="text1"/>
          <w:sz w:val="24"/>
          <w:szCs w:val="24"/>
        </w:rPr>
        <w:t>Contact via:</w:t>
      </w:r>
      <w:r>
        <w:rPr>
          <w:rFonts w:cstheme="minorHAnsi"/>
          <w:color w:val="000000" w:themeColor="text1"/>
          <w:sz w:val="24"/>
          <w:szCs w:val="24"/>
        </w:rPr>
        <w:t xml:space="preserve"> </w:t>
      </w:r>
      <w:hyperlink r:id="rId8" w:history="1">
        <w:r w:rsidRPr="008D6A74">
          <w:rPr>
            <w:rStyle w:val="Hyperlink"/>
            <w:rFonts w:cstheme="minorHAnsi"/>
            <w:sz w:val="24"/>
            <w:szCs w:val="24"/>
          </w:rPr>
          <w:t>consultations@his.org.uk</w:t>
        </w:r>
      </w:hyperlink>
      <w:r>
        <w:rPr>
          <w:rFonts w:cstheme="minorHAnsi"/>
          <w:color w:val="000000" w:themeColor="text1"/>
          <w:sz w:val="24"/>
          <w:szCs w:val="24"/>
        </w:rPr>
        <w:t xml:space="preserve"> </w:t>
      </w:r>
    </w:p>
    <w:p w14:paraId="521856CB" w14:textId="77777777" w:rsidR="00F27AD7" w:rsidRPr="008C3140" w:rsidRDefault="00F27AD7" w:rsidP="00CF7116">
      <w:pPr>
        <w:spacing w:before="240" w:line="276" w:lineRule="auto"/>
        <w:jc w:val="both"/>
        <w:rPr>
          <w:rFonts w:ascii="Calibri" w:hAnsi="Calibri"/>
          <w:color w:val="000000" w:themeColor="text1"/>
        </w:rPr>
      </w:pPr>
    </w:p>
    <w:p w14:paraId="0FA86797" w14:textId="163EFA58" w:rsidR="004A7704" w:rsidRDefault="004A7704" w:rsidP="00CF7116">
      <w:pPr>
        <w:spacing w:before="240" w:line="276" w:lineRule="auto"/>
        <w:jc w:val="both"/>
        <w:rPr>
          <w:rFonts w:ascii="Calibri" w:eastAsia="Times New Roman" w:hAnsi="Calibri" w:cs="Times New Roman"/>
          <w:b/>
          <w:bCs/>
          <w:color w:val="000000" w:themeColor="text1"/>
        </w:rPr>
      </w:pPr>
      <w:r w:rsidRPr="004A7704">
        <w:rPr>
          <w:rFonts w:ascii="Calibri" w:eastAsia="Times New Roman" w:hAnsi="Calibri" w:cs="Times New Roman"/>
          <w:b/>
          <w:bCs/>
          <w:color w:val="000000" w:themeColor="text1"/>
        </w:rPr>
        <w:t>Affiliations:</w:t>
      </w:r>
    </w:p>
    <w:p w14:paraId="0916B67F" w14:textId="07974610" w:rsidR="00867819" w:rsidRPr="00867819" w:rsidRDefault="00867819" w:rsidP="00CF7116">
      <w:pPr>
        <w:spacing w:before="240" w:line="276" w:lineRule="auto"/>
        <w:jc w:val="both"/>
        <w:rPr>
          <w:rFonts w:ascii="Calibri" w:eastAsia="Times New Roman" w:hAnsi="Calibri" w:cs="Times New Roman"/>
          <w:color w:val="000000" w:themeColor="text1"/>
        </w:rPr>
      </w:pPr>
      <w:r w:rsidRPr="00867819">
        <w:rPr>
          <w:rFonts w:ascii="Calibri" w:eastAsia="Times New Roman" w:hAnsi="Calibri" w:cs="Times New Roman"/>
          <w:color w:val="000000" w:themeColor="text1"/>
        </w:rPr>
        <w:t xml:space="preserve">1. Retired; 2. Healthcare Infection Society; 3. Northern Care Alliance NHS Trust; 4. Royal College of General Practitioners; 5. British Infection Society; 6. Oxford University NHS Foundation Trust; 7. </w:t>
      </w:r>
      <w:r w:rsidRPr="00867819">
        <w:t xml:space="preserve">Infection Prevention Society; 8. University of Liverpool; 9. Sheffield Teaching Hospital NHS Foundation Trust; 10. University College London; 11. </w:t>
      </w:r>
      <w:r>
        <w:t>Pan-American Society of Clinical Virology; 12. British HIV Association; 13. St Andrew’s Healthcare; 14. Stockport Council; 15. NHS England; 16. Cambridge University Hospitals NHS Trust; 17. Lay Member; 18. C Diff Support</w:t>
      </w:r>
    </w:p>
    <w:p w14:paraId="2C743D95" w14:textId="77777777" w:rsidR="00803C9C" w:rsidRPr="00150969" w:rsidRDefault="00803C9C" w:rsidP="00CF7116">
      <w:pPr>
        <w:spacing w:before="240" w:line="276" w:lineRule="auto"/>
        <w:jc w:val="both"/>
        <w:rPr>
          <w:rFonts w:cstheme="minorHAnsi"/>
          <w:b/>
          <w:bCs/>
          <w:color w:val="000000" w:themeColor="text1"/>
          <w:sz w:val="24"/>
          <w:szCs w:val="24"/>
        </w:rPr>
      </w:pPr>
      <w:r w:rsidRPr="00150969">
        <w:rPr>
          <w:rFonts w:cstheme="minorHAnsi"/>
          <w:b/>
          <w:bCs/>
          <w:color w:val="000000" w:themeColor="text1"/>
          <w:sz w:val="24"/>
          <w:szCs w:val="24"/>
        </w:rPr>
        <w:t xml:space="preserve">Authors’ contribution: </w:t>
      </w:r>
    </w:p>
    <w:p w14:paraId="026B44FD" w14:textId="327002F4" w:rsidR="00803C9C" w:rsidRDefault="00803C9C" w:rsidP="00CF7116">
      <w:pPr>
        <w:spacing w:before="240" w:line="276" w:lineRule="auto"/>
        <w:jc w:val="both"/>
        <w:rPr>
          <w:rFonts w:cstheme="minorHAnsi"/>
          <w:color w:val="000000" w:themeColor="text1"/>
          <w:sz w:val="24"/>
          <w:szCs w:val="24"/>
        </w:rPr>
      </w:pPr>
      <w:r w:rsidRPr="00150969">
        <w:rPr>
          <w:rFonts w:cstheme="minorHAnsi"/>
          <w:color w:val="000000" w:themeColor="text1"/>
          <w:sz w:val="24"/>
          <w:szCs w:val="24"/>
        </w:rPr>
        <w:t>All authors except AB</w:t>
      </w:r>
      <w:r>
        <w:rPr>
          <w:rFonts w:cstheme="minorHAnsi"/>
          <w:color w:val="000000" w:themeColor="text1"/>
          <w:sz w:val="24"/>
          <w:szCs w:val="24"/>
        </w:rPr>
        <w:t xml:space="preserve"> and </w:t>
      </w:r>
      <w:r w:rsidRPr="00150969">
        <w:rPr>
          <w:rFonts w:cstheme="minorHAnsi"/>
          <w:color w:val="000000" w:themeColor="text1"/>
          <w:sz w:val="24"/>
          <w:szCs w:val="24"/>
        </w:rPr>
        <w:t>GM provided advice and contributed to writing; AB</w:t>
      </w:r>
      <w:r>
        <w:rPr>
          <w:rFonts w:cstheme="minorHAnsi"/>
          <w:color w:val="000000" w:themeColor="text1"/>
          <w:sz w:val="24"/>
          <w:szCs w:val="24"/>
        </w:rPr>
        <w:t xml:space="preserve"> and </w:t>
      </w:r>
      <w:r w:rsidRPr="00150969">
        <w:rPr>
          <w:rFonts w:cstheme="minorHAnsi"/>
          <w:color w:val="000000" w:themeColor="text1"/>
          <w:sz w:val="24"/>
          <w:szCs w:val="24"/>
        </w:rPr>
        <w:t>GM conducted searches</w:t>
      </w:r>
      <w:r>
        <w:rPr>
          <w:rFonts w:cstheme="minorHAnsi"/>
          <w:color w:val="000000" w:themeColor="text1"/>
          <w:sz w:val="24"/>
          <w:szCs w:val="24"/>
        </w:rPr>
        <w:t xml:space="preserve">, </w:t>
      </w:r>
      <w:r w:rsidRPr="00150969">
        <w:rPr>
          <w:rFonts w:cstheme="minorHAnsi"/>
          <w:color w:val="000000" w:themeColor="text1"/>
          <w:sz w:val="24"/>
          <w:szCs w:val="24"/>
        </w:rPr>
        <w:t>evidence syntheses</w:t>
      </w:r>
      <w:r>
        <w:rPr>
          <w:rFonts w:cstheme="minorHAnsi"/>
          <w:color w:val="000000" w:themeColor="text1"/>
          <w:sz w:val="24"/>
          <w:szCs w:val="24"/>
        </w:rPr>
        <w:t>, and contributed to writing</w:t>
      </w:r>
      <w:r w:rsidRPr="00150969">
        <w:rPr>
          <w:rFonts w:cstheme="minorHAnsi"/>
          <w:color w:val="000000" w:themeColor="text1"/>
          <w:sz w:val="24"/>
          <w:szCs w:val="24"/>
        </w:rPr>
        <w:t xml:space="preserve">. </w:t>
      </w:r>
    </w:p>
    <w:p w14:paraId="684258CD" w14:textId="77777777" w:rsidR="00803C9C" w:rsidRDefault="00803C9C" w:rsidP="00CF7116">
      <w:pPr>
        <w:spacing w:before="240" w:line="276" w:lineRule="auto"/>
        <w:jc w:val="both"/>
        <w:rPr>
          <w:rFonts w:cstheme="minorHAnsi"/>
          <w:color w:val="000000" w:themeColor="text1"/>
          <w:sz w:val="24"/>
          <w:szCs w:val="24"/>
        </w:rPr>
      </w:pPr>
    </w:p>
    <w:p w14:paraId="751494C8" w14:textId="77777777" w:rsidR="00803C9C" w:rsidRPr="00150969" w:rsidRDefault="00803C9C" w:rsidP="00CF7116">
      <w:pPr>
        <w:spacing w:before="240" w:line="276" w:lineRule="auto"/>
        <w:jc w:val="both"/>
        <w:rPr>
          <w:rFonts w:cstheme="minorHAnsi"/>
          <w:color w:val="000000" w:themeColor="text1"/>
          <w:sz w:val="24"/>
          <w:szCs w:val="24"/>
        </w:rPr>
      </w:pPr>
    </w:p>
    <w:p w14:paraId="319CA6E8" w14:textId="0A04ED7F" w:rsidR="00803C9C" w:rsidRPr="00150969" w:rsidRDefault="00803C9C" w:rsidP="00CF7116">
      <w:pPr>
        <w:spacing w:before="240" w:line="276" w:lineRule="auto"/>
        <w:jc w:val="both"/>
        <w:rPr>
          <w:rFonts w:cstheme="minorHAnsi"/>
          <w:i/>
          <w:iCs/>
          <w:color w:val="000000" w:themeColor="text1"/>
          <w:sz w:val="24"/>
          <w:szCs w:val="24"/>
        </w:rPr>
      </w:pPr>
      <w:r w:rsidRPr="00150969">
        <w:rPr>
          <w:rFonts w:cstheme="minorHAnsi"/>
          <w:i/>
          <w:iCs/>
          <w:color w:val="000000" w:themeColor="text1"/>
          <w:sz w:val="24"/>
          <w:szCs w:val="24"/>
        </w:rPr>
        <w:t>“NICE has accredited the process used by the Healthcare Infection Society to produce</w:t>
      </w:r>
      <w:r>
        <w:rPr>
          <w:rFonts w:cstheme="minorHAnsi"/>
          <w:i/>
          <w:iCs/>
          <w:color w:val="000000" w:themeColor="text1"/>
          <w:sz w:val="24"/>
          <w:szCs w:val="24"/>
        </w:rPr>
        <w:t>:</w:t>
      </w:r>
      <w:r w:rsidRPr="00803C9C">
        <w:t xml:space="preserve"> </w:t>
      </w:r>
      <w:r w:rsidRPr="00556D11">
        <w:t>“</w:t>
      </w:r>
      <w:r w:rsidR="005B23A1" w:rsidRPr="00556D11">
        <w:rPr>
          <w:rFonts w:cstheme="minorHAnsi"/>
          <w:i/>
          <w:iCs/>
          <w:color w:val="000000" w:themeColor="text1"/>
          <w:sz w:val="24"/>
          <w:szCs w:val="24"/>
        </w:rPr>
        <w:t>Guidelines for the management of norovirus outbreaks in acute and community health and social care settings</w:t>
      </w:r>
      <w:r w:rsidRPr="00556D11">
        <w:rPr>
          <w:rFonts w:cstheme="minorHAnsi"/>
          <w:i/>
          <w:iCs/>
          <w:color w:val="000000" w:themeColor="text1"/>
          <w:sz w:val="24"/>
          <w:szCs w:val="24"/>
        </w:rPr>
        <w:t>.” The NICE accreditation of HIS methodology is valid for five years from</w:t>
      </w:r>
      <w:r w:rsidRPr="00150969">
        <w:rPr>
          <w:rFonts w:cstheme="minorHAnsi"/>
          <w:i/>
          <w:iCs/>
          <w:color w:val="000000" w:themeColor="text1"/>
          <w:sz w:val="24"/>
          <w:szCs w:val="24"/>
        </w:rPr>
        <w:t xml:space="preserve"> March 2020. More information on accreditation can be viewed at </w:t>
      </w:r>
      <w:hyperlink r:id="rId9" w:history="1">
        <w:r w:rsidRPr="00150969">
          <w:rPr>
            <w:rStyle w:val="Hyperlink"/>
            <w:rFonts w:cstheme="minorHAnsi"/>
            <w:i/>
            <w:iCs/>
            <w:color w:val="000000" w:themeColor="text1"/>
            <w:sz w:val="24"/>
            <w:szCs w:val="24"/>
          </w:rPr>
          <w:t>http://www.nice.org.uk/about/what-we-do/accreditation</w:t>
        </w:r>
      </w:hyperlink>
      <w:r w:rsidRPr="00150969">
        <w:rPr>
          <w:rFonts w:cstheme="minorHAnsi"/>
          <w:i/>
          <w:iCs/>
          <w:color w:val="000000" w:themeColor="text1"/>
          <w:sz w:val="24"/>
          <w:szCs w:val="24"/>
        </w:rPr>
        <w:t>”</w:t>
      </w:r>
    </w:p>
    <w:p w14:paraId="50F3523B" w14:textId="21A68B3D" w:rsidR="004A7704" w:rsidRDefault="004A7704" w:rsidP="00CF7116">
      <w:pPr>
        <w:spacing w:before="240" w:line="276" w:lineRule="auto"/>
        <w:jc w:val="both"/>
        <w:rPr>
          <w:rFonts w:ascii="Calibri" w:hAnsi="Calibri"/>
          <w:color w:val="000000" w:themeColor="text1"/>
        </w:rPr>
      </w:pPr>
    </w:p>
    <w:p w14:paraId="2145E876" w14:textId="77777777" w:rsidR="003B132D" w:rsidRPr="008C3140" w:rsidRDefault="003B132D" w:rsidP="00CF7116">
      <w:pPr>
        <w:spacing w:before="240" w:line="276" w:lineRule="auto"/>
        <w:jc w:val="both"/>
        <w:rPr>
          <w:color w:val="000000" w:themeColor="text1"/>
        </w:rPr>
      </w:pPr>
    </w:p>
    <w:p w14:paraId="4D16F56A" w14:textId="1C06753D" w:rsidR="00363109" w:rsidRDefault="00B97152" w:rsidP="00CF7116">
      <w:pPr>
        <w:spacing w:before="240" w:line="276" w:lineRule="auto"/>
        <w:rPr>
          <w:color w:val="000000" w:themeColor="text1"/>
        </w:rPr>
      </w:pPr>
      <w:r w:rsidRPr="004D288B">
        <w:rPr>
          <w:b/>
          <w:bCs/>
          <w:color w:val="000000" w:themeColor="text1"/>
        </w:rPr>
        <w:t>Keywords:</w:t>
      </w:r>
      <w:r>
        <w:rPr>
          <w:color w:val="000000" w:themeColor="text1"/>
        </w:rPr>
        <w:t xml:space="preserve"> </w:t>
      </w:r>
      <w:r w:rsidR="00407543">
        <w:rPr>
          <w:color w:val="000000" w:themeColor="text1"/>
        </w:rPr>
        <w:t>norovirus, acute gastro-enteritis, health facilities, guidelines</w:t>
      </w:r>
      <w:r w:rsidR="00E758C0">
        <w:rPr>
          <w:color w:val="000000" w:themeColor="text1"/>
        </w:rPr>
        <w:t xml:space="preserve"> </w:t>
      </w:r>
      <w:r w:rsidR="00363109">
        <w:rPr>
          <w:color w:val="000000" w:themeColor="text1"/>
        </w:rPr>
        <w:br w:type="page"/>
      </w:r>
    </w:p>
    <w:p w14:paraId="04D1C3F2" w14:textId="2958DCDE" w:rsidR="002936AF" w:rsidRDefault="00F15A3A" w:rsidP="00CF7116">
      <w:pPr>
        <w:pStyle w:val="Heading1"/>
        <w:numPr>
          <w:ilvl w:val="0"/>
          <w:numId w:val="27"/>
        </w:numPr>
        <w:spacing w:after="160" w:line="276" w:lineRule="auto"/>
      </w:pPr>
      <w:r w:rsidRPr="00555B31">
        <w:lastRenderedPageBreak/>
        <w:t>Executive</w:t>
      </w:r>
      <w:r w:rsidR="00AF08D5" w:rsidRPr="00555B31">
        <w:t xml:space="preserve"> summary</w:t>
      </w:r>
    </w:p>
    <w:p w14:paraId="2427B43B" w14:textId="35CD0F47" w:rsidR="00A93D8D" w:rsidRDefault="00A93D8D" w:rsidP="00CF7116">
      <w:pPr>
        <w:spacing w:before="240" w:line="276" w:lineRule="auto"/>
      </w:pPr>
      <w:bookmarkStart w:id="1" w:name="_Hlk82165068"/>
      <w:r>
        <w:t>Norovirus remains the most prevalent gastrointestinal pathogen. Outbreaks in healthcare and non-healthcare settings are still reported and norovirus is still estimated to cost the UK National Health Service (NHS) more than £100 million annually. Previous UK guidelines</w:t>
      </w:r>
      <w:r w:rsidRPr="00A93D8D">
        <w:rPr>
          <w:vertAlign w:val="superscript"/>
        </w:rPr>
        <w:t>1</w:t>
      </w:r>
      <w:r>
        <w:t xml:space="preserve"> were published over a decade ago and new knowledge and technologies have since emerged. These updated guidelines focus on infection prevention and control (IPC) principles which aim to reduce</w:t>
      </w:r>
      <w:r w:rsidR="001E450D">
        <w:t xml:space="preserve"> the</w:t>
      </w:r>
      <w:r>
        <w:t xml:space="preserve"> norovirus burden in healthcare settings</w:t>
      </w:r>
      <w:r w:rsidR="001E450D">
        <w:t>,</w:t>
      </w:r>
      <w:r>
        <w:t xml:space="preserve"> while maintaining essential services and minimising disruptions during the outbreaks. Specifically, they discuss the currently available evidence for outbreak prevention, outbreak control at ward/unit level and the management of infected individuals. Additionally, the guidelines highlight the poor quality of evidence that underpins the current IPC strategies for controlling norovirus outbreaks and emphasise the gaps in knowledge with recommendations for future research. </w:t>
      </w:r>
    </w:p>
    <w:bookmarkEnd w:id="1"/>
    <w:p w14:paraId="7B9CDDB3" w14:textId="4D834CF4" w:rsidR="00B0545F" w:rsidRPr="00FB4DA7" w:rsidRDefault="00B0545F" w:rsidP="00CF7116">
      <w:pPr>
        <w:spacing w:before="240" w:line="276" w:lineRule="auto"/>
        <w:rPr>
          <w:b/>
          <w:bCs/>
          <w:sz w:val="24"/>
          <w:szCs w:val="24"/>
        </w:rPr>
      </w:pPr>
      <w:r w:rsidRPr="00FB4DA7">
        <w:rPr>
          <w:b/>
          <w:bCs/>
          <w:sz w:val="24"/>
          <w:szCs w:val="24"/>
        </w:rPr>
        <w:t>Summary of recommendations</w:t>
      </w:r>
      <w:r w:rsidR="008F3499" w:rsidRPr="00FB4DA7">
        <w:rPr>
          <w:b/>
          <w:bCs/>
          <w:sz w:val="24"/>
          <w:szCs w:val="24"/>
        </w:rPr>
        <w:t xml:space="preserve"> and good practice points</w:t>
      </w:r>
      <w:r w:rsidRPr="00FB4DA7">
        <w:rPr>
          <w:b/>
          <w:bCs/>
          <w:sz w:val="24"/>
          <w:szCs w:val="24"/>
        </w:rPr>
        <w:t>:</w:t>
      </w:r>
    </w:p>
    <w:p w14:paraId="0CF7D0E0" w14:textId="77777777" w:rsidR="00FB4DA7" w:rsidRDefault="00FB4DA7" w:rsidP="008F3499">
      <w:pPr>
        <w:spacing w:before="240" w:after="240" w:line="276" w:lineRule="auto"/>
        <w:rPr>
          <w:b/>
          <w:bCs/>
        </w:rPr>
      </w:pPr>
      <w:r w:rsidRPr="00FB4DA7">
        <w:rPr>
          <w:b/>
          <w:bCs/>
        </w:rPr>
        <w:t>What is the role of building design in the occurrence of norovirus outbreaks?</w:t>
      </w:r>
    </w:p>
    <w:p w14:paraId="48092ACC" w14:textId="253C14D4" w:rsidR="008F3499" w:rsidRPr="008F3499" w:rsidRDefault="008F3499" w:rsidP="008F3499">
      <w:pPr>
        <w:spacing w:before="240" w:after="240" w:line="276" w:lineRule="auto"/>
      </w:pPr>
      <w:r w:rsidRPr="008F3499">
        <w:rPr>
          <w:b/>
          <w:bCs/>
        </w:rPr>
        <w:t>1.1:</w:t>
      </w:r>
      <w:r w:rsidRPr="008F3499">
        <w:t xml:space="preserve"> No recommendation</w:t>
      </w:r>
    </w:p>
    <w:p w14:paraId="17013E73" w14:textId="77777777" w:rsidR="008F3499" w:rsidRPr="008F3499" w:rsidRDefault="008F3499" w:rsidP="008F3499">
      <w:pPr>
        <w:spacing w:before="240" w:line="276" w:lineRule="auto"/>
      </w:pPr>
      <w:r w:rsidRPr="008F3499">
        <w:rPr>
          <w:b/>
          <w:bCs/>
        </w:rPr>
        <w:t>GPP 1.1:</w:t>
      </w:r>
      <w:r w:rsidRPr="008F3499">
        <w:t xml:space="preserve"> Perform risk assessment of the ward/unit to establish the risk of norovirus transmission between patients. </w:t>
      </w:r>
    </w:p>
    <w:p w14:paraId="25C580A5" w14:textId="77777777" w:rsidR="008F3499" w:rsidRPr="008F3499" w:rsidRDefault="008F3499" w:rsidP="008F3499">
      <w:pPr>
        <w:spacing w:before="240" w:line="276" w:lineRule="auto"/>
      </w:pPr>
      <w:r w:rsidRPr="008F3499">
        <w:rPr>
          <w:b/>
          <w:bCs/>
        </w:rPr>
        <w:t>GPP 1.2:</w:t>
      </w:r>
      <w:r w:rsidRPr="008F3499">
        <w:t xml:space="preserve"> Where risk of transmission is high, consider making small changes to the ward/unit layout e.g. installing partitions, bay doors or including flexible designs. </w:t>
      </w:r>
    </w:p>
    <w:p w14:paraId="24E4FCA1" w14:textId="77777777" w:rsidR="008F3499" w:rsidRPr="008F3499" w:rsidRDefault="008F3499" w:rsidP="008F3499">
      <w:pPr>
        <w:spacing w:before="240" w:line="276" w:lineRule="auto"/>
      </w:pPr>
      <w:r w:rsidRPr="008F3499">
        <w:rPr>
          <w:b/>
          <w:bCs/>
        </w:rPr>
        <w:t>GPP 1.3:</w:t>
      </w:r>
      <w:r w:rsidRPr="008F3499">
        <w:t xml:space="preserve"> Assess individual risk of norovirus infection to the patient and consider additional control measures for patients at the highest risk (i.e. those who are immunocompromised). </w:t>
      </w:r>
    </w:p>
    <w:p w14:paraId="32BB9793" w14:textId="77777777" w:rsidR="00FB4DA7" w:rsidRDefault="00FB4DA7" w:rsidP="00FB4DA7">
      <w:pPr>
        <w:spacing w:before="240" w:line="276" w:lineRule="auto"/>
        <w:rPr>
          <w:b/>
          <w:bCs/>
        </w:rPr>
      </w:pPr>
    </w:p>
    <w:p w14:paraId="0469E22E" w14:textId="64628600" w:rsidR="00FB4DA7" w:rsidRDefault="00FB4DA7" w:rsidP="00FB4DA7">
      <w:pPr>
        <w:spacing w:before="240" w:line="276" w:lineRule="auto"/>
        <w:rPr>
          <w:b/>
          <w:bCs/>
        </w:rPr>
      </w:pPr>
      <w:r w:rsidRPr="00FB4DA7">
        <w:rPr>
          <w:b/>
          <w:bCs/>
        </w:rPr>
        <w:t>What is the clinical and cost effectiveness of preparing for an outbreak of norovirus?</w:t>
      </w:r>
    </w:p>
    <w:p w14:paraId="28814D39" w14:textId="77777777" w:rsidR="008F3499" w:rsidRPr="008F3499" w:rsidRDefault="008F3499" w:rsidP="008F3499">
      <w:pPr>
        <w:spacing w:before="240" w:line="276" w:lineRule="auto"/>
      </w:pPr>
      <w:r w:rsidRPr="008F3499">
        <w:rPr>
          <w:b/>
          <w:bCs/>
        </w:rPr>
        <w:t>2.1:</w:t>
      </w:r>
      <w:r w:rsidRPr="008F3499">
        <w:t xml:space="preserve"> No recommendation.</w:t>
      </w:r>
    </w:p>
    <w:p w14:paraId="4FC832F6" w14:textId="3584F1DC" w:rsidR="008F3499" w:rsidRPr="008F3499" w:rsidRDefault="008F3499" w:rsidP="008F3499">
      <w:pPr>
        <w:spacing w:before="240" w:line="276" w:lineRule="auto"/>
        <w:rPr>
          <w:b/>
        </w:rPr>
      </w:pPr>
      <w:r w:rsidRPr="008F3499">
        <w:rPr>
          <w:b/>
          <w:bCs/>
        </w:rPr>
        <w:t>GPP 2.1:</w:t>
      </w:r>
      <w:r w:rsidRPr="008F3499">
        <w:t xml:space="preserve"> Wherever possible, prepare staff for potential norovirus outbreaks by providing reminders, training and education so that staff are able to act quickly. </w:t>
      </w:r>
    </w:p>
    <w:p w14:paraId="2087CCB9" w14:textId="77777777" w:rsidR="00FB4DA7" w:rsidRDefault="00FB4DA7" w:rsidP="008F3499">
      <w:pPr>
        <w:spacing w:before="240" w:line="276" w:lineRule="auto"/>
        <w:rPr>
          <w:b/>
          <w:bCs/>
        </w:rPr>
      </w:pPr>
    </w:p>
    <w:p w14:paraId="5C4082A1" w14:textId="61B2B99E" w:rsidR="00FB4DA7" w:rsidRDefault="00FB4DA7" w:rsidP="008F3499">
      <w:pPr>
        <w:spacing w:before="240" w:line="276" w:lineRule="auto"/>
        <w:rPr>
          <w:b/>
          <w:bCs/>
        </w:rPr>
      </w:pPr>
      <w:r w:rsidRPr="00FB4DA7">
        <w:rPr>
          <w:b/>
          <w:bCs/>
        </w:rPr>
        <w:t>What is the clinical and cost-effectiveness of avoiding admission/ incarceration of the individuals who are suspected or confirmed to be infected by norovirus?</w:t>
      </w:r>
    </w:p>
    <w:p w14:paraId="1653679F" w14:textId="363CF99B" w:rsidR="008F3499" w:rsidRPr="008F3499" w:rsidRDefault="008F3499" w:rsidP="008F3499">
      <w:pPr>
        <w:spacing w:before="240" w:line="276" w:lineRule="auto"/>
      </w:pPr>
      <w:r w:rsidRPr="008F3499">
        <w:rPr>
          <w:b/>
          <w:bCs/>
        </w:rPr>
        <w:t>3.1:</w:t>
      </w:r>
      <w:r w:rsidRPr="008F3499">
        <w:t xml:space="preserve"> No recommendation</w:t>
      </w:r>
    </w:p>
    <w:p w14:paraId="57D1D57C" w14:textId="77777777" w:rsidR="008F3499" w:rsidRPr="008F3499" w:rsidRDefault="008F3499" w:rsidP="008F3499">
      <w:pPr>
        <w:spacing w:before="240" w:line="276" w:lineRule="auto"/>
      </w:pPr>
      <w:r w:rsidRPr="008F3499">
        <w:rPr>
          <w:b/>
          <w:bCs/>
        </w:rPr>
        <w:t>GPP 3.1:</w:t>
      </w:r>
      <w:r w:rsidRPr="008F3499">
        <w:t xml:space="preserve"> Where feasible, avoid admitting suspected/confirmed norovirus patients and offer suitable supportive treatment (e.g. rehydration therapy) in the community. </w:t>
      </w:r>
    </w:p>
    <w:p w14:paraId="7D6661B6" w14:textId="77777777" w:rsidR="00FB4DA7" w:rsidRDefault="00FB4DA7" w:rsidP="008F3499">
      <w:pPr>
        <w:spacing w:before="240" w:line="276" w:lineRule="auto"/>
        <w:rPr>
          <w:b/>
          <w:bCs/>
        </w:rPr>
      </w:pPr>
    </w:p>
    <w:p w14:paraId="6DBF7118" w14:textId="14C5A562" w:rsidR="00FB4DA7" w:rsidRDefault="00FB4DA7" w:rsidP="008F3499">
      <w:pPr>
        <w:spacing w:before="240" w:line="276" w:lineRule="auto"/>
        <w:rPr>
          <w:b/>
          <w:bCs/>
        </w:rPr>
      </w:pPr>
      <w:r w:rsidRPr="00FB4DA7">
        <w:rPr>
          <w:b/>
          <w:bCs/>
        </w:rPr>
        <w:t>When should the beginning and the end of the outbreak be declared?</w:t>
      </w:r>
    </w:p>
    <w:p w14:paraId="0746E8AC" w14:textId="1D91643E" w:rsidR="008F3499" w:rsidRPr="008F3499" w:rsidRDefault="008F3499" w:rsidP="008F3499">
      <w:pPr>
        <w:spacing w:before="240" w:line="276" w:lineRule="auto"/>
      </w:pPr>
      <w:r w:rsidRPr="008F3499">
        <w:rPr>
          <w:b/>
          <w:bCs/>
        </w:rPr>
        <w:t>4.1:</w:t>
      </w:r>
      <w:r w:rsidRPr="008F3499">
        <w:t xml:space="preserve"> No recommendation.</w:t>
      </w:r>
    </w:p>
    <w:p w14:paraId="56FBC1B1" w14:textId="77777777" w:rsidR="008F3499" w:rsidRPr="008F3499" w:rsidRDefault="008F3499" w:rsidP="008F3499">
      <w:pPr>
        <w:spacing w:before="240" w:line="276" w:lineRule="auto"/>
      </w:pPr>
      <w:r w:rsidRPr="008F3499">
        <w:rPr>
          <w:b/>
          <w:bCs/>
        </w:rPr>
        <w:t>GPP 4.1:</w:t>
      </w:r>
      <w:r w:rsidRPr="008F3499">
        <w:t xml:space="preserve"> If an outbreak is suspected, consider introducing control measures before laboratory results are available.</w:t>
      </w:r>
    </w:p>
    <w:p w14:paraId="13428C47" w14:textId="77777777" w:rsidR="008F3499" w:rsidRPr="008F3499" w:rsidRDefault="008F3499" w:rsidP="008F3499">
      <w:pPr>
        <w:spacing w:before="240" w:line="276" w:lineRule="auto"/>
      </w:pPr>
      <w:r w:rsidRPr="008F3499">
        <w:rPr>
          <w:b/>
          <w:bCs/>
        </w:rPr>
        <w:t>GPP 4.2:</w:t>
      </w:r>
      <w:r w:rsidRPr="008F3499">
        <w:t xml:space="preserve"> If a sporadic case of norovirus is identified, consider introducing control measures to prevent an outbreak (for the next 72 hours). </w:t>
      </w:r>
    </w:p>
    <w:p w14:paraId="7B0C459F" w14:textId="77777777" w:rsidR="008F3499" w:rsidRPr="008F3499" w:rsidRDefault="008F3499" w:rsidP="008F3499">
      <w:pPr>
        <w:spacing w:before="240" w:line="276" w:lineRule="auto"/>
      </w:pPr>
      <w:r w:rsidRPr="008F3499">
        <w:rPr>
          <w:b/>
          <w:bCs/>
        </w:rPr>
        <w:t>GPP 4.3:</w:t>
      </w:r>
      <w:r w:rsidRPr="008F3499">
        <w:t xml:space="preserve"> Whenever possible, maintain the control measures in place for 72 hours after the last episode of vomiting or diarrhoea, before declaring the end of an outbreak. </w:t>
      </w:r>
    </w:p>
    <w:p w14:paraId="51B166E2" w14:textId="77777777" w:rsidR="00FB4DA7" w:rsidRDefault="00FB4DA7" w:rsidP="008F3499">
      <w:pPr>
        <w:spacing w:before="240" w:line="276" w:lineRule="auto"/>
        <w:rPr>
          <w:b/>
          <w:bCs/>
        </w:rPr>
      </w:pPr>
    </w:p>
    <w:p w14:paraId="5356EC23" w14:textId="48ADE184" w:rsidR="00FB4DA7" w:rsidRDefault="00FB4DA7" w:rsidP="008F3499">
      <w:pPr>
        <w:spacing w:before="240" w:line="276" w:lineRule="auto"/>
        <w:rPr>
          <w:b/>
          <w:bCs/>
        </w:rPr>
      </w:pPr>
      <w:r w:rsidRPr="00FB4DA7">
        <w:rPr>
          <w:b/>
          <w:bCs/>
        </w:rPr>
        <w:t>What is the effective communication at the start of an outbreak?</w:t>
      </w:r>
    </w:p>
    <w:p w14:paraId="0D0F7958" w14:textId="45AE85FC" w:rsidR="008F3499" w:rsidRPr="008F3499" w:rsidRDefault="008F3499" w:rsidP="008F3499">
      <w:pPr>
        <w:spacing w:before="240" w:line="276" w:lineRule="auto"/>
      </w:pPr>
      <w:r w:rsidRPr="008F3499">
        <w:rPr>
          <w:b/>
          <w:bCs/>
        </w:rPr>
        <w:t>5.1:</w:t>
      </w:r>
      <w:r w:rsidRPr="008F3499">
        <w:t xml:space="preserve"> Communicate with the IPC team as soon as an outbreak of norovirus infection is suspected or confirmed. </w:t>
      </w:r>
    </w:p>
    <w:p w14:paraId="408155C6" w14:textId="77777777" w:rsidR="008F3499" w:rsidRPr="008F3499" w:rsidRDefault="008F3499" w:rsidP="008F3499">
      <w:pPr>
        <w:spacing w:before="240" w:line="276" w:lineRule="auto"/>
      </w:pPr>
      <w:r w:rsidRPr="008F3499">
        <w:rPr>
          <w:b/>
          <w:bCs/>
        </w:rPr>
        <w:t>GPP 5.1:</w:t>
      </w:r>
      <w:r w:rsidRPr="008F3499">
        <w:t xml:space="preserve"> Seek support from the local IPC team about the management of sporadic (suspected and confirmed) norovirus cases. </w:t>
      </w:r>
    </w:p>
    <w:p w14:paraId="3CC47083" w14:textId="77777777" w:rsidR="008F3499" w:rsidRPr="008F3499" w:rsidRDefault="008F3499" w:rsidP="008F3499">
      <w:pPr>
        <w:spacing w:before="240" w:line="276" w:lineRule="auto"/>
      </w:pPr>
      <w:r w:rsidRPr="008F3499">
        <w:rPr>
          <w:b/>
          <w:bCs/>
        </w:rPr>
        <w:t>GPP 5.2:</w:t>
      </w:r>
      <w:r w:rsidRPr="008F3499">
        <w:t xml:space="preserve"> Inform all local facilities of any outbreaks occurring in your area, i.e. if they occur in the community and vice versa. </w:t>
      </w:r>
    </w:p>
    <w:p w14:paraId="0A358378" w14:textId="77777777" w:rsidR="00FB4DA7" w:rsidRDefault="00FB4DA7" w:rsidP="008F3499">
      <w:pPr>
        <w:spacing w:before="240" w:line="276" w:lineRule="auto"/>
        <w:rPr>
          <w:b/>
          <w:bCs/>
        </w:rPr>
      </w:pPr>
    </w:p>
    <w:p w14:paraId="10FB3702" w14:textId="77777777" w:rsidR="00FB4DA7" w:rsidRDefault="00FB4DA7" w:rsidP="008F3499">
      <w:pPr>
        <w:spacing w:before="240" w:line="276" w:lineRule="auto"/>
        <w:rPr>
          <w:b/>
          <w:bCs/>
        </w:rPr>
      </w:pPr>
      <w:r w:rsidRPr="00FB4DA7">
        <w:rPr>
          <w:b/>
          <w:bCs/>
        </w:rPr>
        <w:t>What is the clinical and cost-effectiveness of testing all patients with vomiting and/or diarrhoea at admission?</w:t>
      </w:r>
    </w:p>
    <w:p w14:paraId="19793107" w14:textId="59F7C2DB" w:rsidR="008F3499" w:rsidRPr="008F3499" w:rsidRDefault="008F3499" w:rsidP="008F3499">
      <w:pPr>
        <w:spacing w:before="240" w:line="276" w:lineRule="auto"/>
      </w:pPr>
      <w:r w:rsidRPr="008F3499">
        <w:rPr>
          <w:b/>
          <w:bCs/>
        </w:rPr>
        <w:t xml:space="preserve">6.1: </w:t>
      </w:r>
      <w:r w:rsidRPr="008F3499">
        <w:t>No recommendation</w:t>
      </w:r>
    </w:p>
    <w:p w14:paraId="035F194B" w14:textId="77777777" w:rsidR="008F3499" w:rsidRPr="008F3499" w:rsidRDefault="008F3499" w:rsidP="008F3499">
      <w:pPr>
        <w:spacing w:before="240" w:line="276" w:lineRule="auto"/>
      </w:pPr>
      <w:r w:rsidRPr="008F3499">
        <w:rPr>
          <w:b/>
          <w:bCs/>
        </w:rPr>
        <w:t>GPP 6.1:</w:t>
      </w:r>
      <w:r w:rsidRPr="008F3499">
        <w:t xml:space="preserve"> Wherever possible, test all symptomatic patients for norovirus at admission. </w:t>
      </w:r>
    </w:p>
    <w:p w14:paraId="0ECF94B0" w14:textId="77777777" w:rsidR="00FB4DA7" w:rsidRDefault="00FB4DA7" w:rsidP="008F3499">
      <w:pPr>
        <w:spacing w:before="240" w:line="276" w:lineRule="auto"/>
        <w:rPr>
          <w:b/>
          <w:bCs/>
        </w:rPr>
      </w:pPr>
    </w:p>
    <w:p w14:paraId="508BF51B" w14:textId="77777777" w:rsidR="00FB4DA7" w:rsidRDefault="00FB4DA7" w:rsidP="008F3499">
      <w:pPr>
        <w:spacing w:before="240" w:line="276" w:lineRule="auto"/>
        <w:rPr>
          <w:b/>
          <w:bCs/>
        </w:rPr>
      </w:pPr>
      <w:r w:rsidRPr="00FB4DA7">
        <w:rPr>
          <w:b/>
          <w:bCs/>
        </w:rPr>
        <w:t>What is the clinical and cost-effectiveness of testing all individuals who develop vomiting and/or diarrhoea?</w:t>
      </w:r>
    </w:p>
    <w:p w14:paraId="5A8322A3" w14:textId="48892637" w:rsidR="008F3499" w:rsidRPr="008F3499" w:rsidRDefault="008F3499" w:rsidP="008F3499">
      <w:pPr>
        <w:spacing w:before="240" w:line="276" w:lineRule="auto"/>
      </w:pPr>
      <w:r w:rsidRPr="008F3499">
        <w:rPr>
          <w:b/>
          <w:bCs/>
        </w:rPr>
        <w:t>7.1:</w:t>
      </w:r>
      <w:r w:rsidRPr="008F3499">
        <w:t xml:space="preserve"> No recommendation</w:t>
      </w:r>
    </w:p>
    <w:p w14:paraId="4221A601" w14:textId="77777777" w:rsidR="008F3499" w:rsidRPr="008F3499" w:rsidRDefault="008F3499" w:rsidP="008F3499">
      <w:pPr>
        <w:spacing w:before="240" w:line="276" w:lineRule="auto"/>
      </w:pPr>
      <w:r w:rsidRPr="008F3499">
        <w:rPr>
          <w:b/>
          <w:bCs/>
        </w:rPr>
        <w:t>GPP 7.1:</w:t>
      </w:r>
      <w:r w:rsidRPr="008F3499">
        <w:t xml:space="preserve"> Wherever possible, test all symptomatic patients to establish whether their symptoms are due to norovirus infection. </w:t>
      </w:r>
    </w:p>
    <w:p w14:paraId="476E0C6B" w14:textId="77777777" w:rsidR="00FB4DA7" w:rsidRDefault="00FB4DA7" w:rsidP="008F3499">
      <w:pPr>
        <w:spacing w:before="240" w:line="276" w:lineRule="auto"/>
        <w:rPr>
          <w:b/>
          <w:bCs/>
        </w:rPr>
      </w:pPr>
    </w:p>
    <w:p w14:paraId="5A9AC47C" w14:textId="77777777" w:rsidR="00FB4DA7" w:rsidRDefault="00FB4DA7" w:rsidP="008F3499">
      <w:pPr>
        <w:spacing w:before="240" w:line="276" w:lineRule="auto"/>
        <w:rPr>
          <w:b/>
          <w:bCs/>
        </w:rPr>
      </w:pPr>
      <w:r w:rsidRPr="00FB4DA7">
        <w:rPr>
          <w:b/>
          <w:bCs/>
        </w:rPr>
        <w:lastRenderedPageBreak/>
        <w:t>What is the clinical and cost-effectiveness of follow-up testing for norovirus?</w:t>
      </w:r>
    </w:p>
    <w:p w14:paraId="14085EAA" w14:textId="15BBA44C" w:rsidR="008F3499" w:rsidRPr="008F3499" w:rsidRDefault="008F3499" w:rsidP="008F3499">
      <w:pPr>
        <w:spacing w:before="240" w:line="276" w:lineRule="auto"/>
      </w:pPr>
      <w:r w:rsidRPr="008F3499">
        <w:rPr>
          <w:b/>
          <w:bCs/>
        </w:rPr>
        <w:t>8.1:</w:t>
      </w:r>
      <w:r w:rsidRPr="008F3499">
        <w:t xml:space="preserve"> No recommendation</w:t>
      </w:r>
    </w:p>
    <w:p w14:paraId="2C15BC6B" w14:textId="77777777" w:rsidR="008F3499" w:rsidRPr="008F3499" w:rsidRDefault="008F3499" w:rsidP="008F3499">
      <w:pPr>
        <w:spacing w:before="240" w:line="276" w:lineRule="auto"/>
      </w:pPr>
      <w:r w:rsidRPr="008F3499">
        <w:rPr>
          <w:b/>
          <w:bCs/>
        </w:rPr>
        <w:t>GPP 8.1:</w:t>
      </w:r>
      <w:r w:rsidRPr="008F3499">
        <w:t xml:space="preserve"> Do not offer routine follow-up testing for norovirus. </w:t>
      </w:r>
    </w:p>
    <w:p w14:paraId="58EA2C03" w14:textId="77777777" w:rsidR="008F3499" w:rsidRPr="008F3499" w:rsidRDefault="008F3499" w:rsidP="008F3499">
      <w:pPr>
        <w:spacing w:before="240" w:line="276" w:lineRule="auto"/>
        <w:rPr>
          <w:b/>
          <w:bCs/>
        </w:rPr>
      </w:pPr>
      <w:r w:rsidRPr="008F3499">
        <w:rPr>
          <w:b/>
          <w:bCs/>
        </w:rPr>
        <w:t xml:space="preserve">GPP 8.2: </w:t>
      </w:r>
      <w:r w:rsidRPr="008F3499">
        <w:t xml:space="preserve">Consider follow-up testing if there is a suspicion that the individual may be chronically infected with norovirus. </w:t>
      </w:r>
    </w:p>
    <w:p w14:paraId="182D07C0" w14:textId="77777777" w:rsidR="00FB4DA7" w:rsidRDefault="00FB4DA7" w:rsidP="008F3499">
      <w:pPr>
        <w:spacing w:before="240" w:line="276" w:lineRule="auto"/>
        <w:rPr>
          <w:b/>
          <w:bCs/>
        </w:rPr>
      </w:pPr>
    </w:p>
    <w:p w14:paraId="0CCECAC8" w14:textId="77777777" w:rsidR="00FB4DA7" w:rsidRDefault="00FB4DA7" w:rsidP="008F3499">
      <w:pPr>
        <w:spacing w:before="240" w:line="276" w:lineRule="auto"/>
        <w:rPr>
          <w:b/>
          <w:bCs/>
        </w:rPr>
      </w:pPr>
      <w:r w:rsidRPr="00FB4DA7">
        <w:rPr>
          <w:b/>
          <w:bCs/>
        </w:rPr>
        <w:t>What is the cost effectiveness of using different types of testing for screening/diagnosing norovirus infection?</w:t>
      </w:r>
    </w:p>
    <w:p w14:paraId="66143FDD" w14:textId="08C1C5D2" w:rsidR="008F3499" w:rsidRPr="008F3499" w:rsidRDefault="008F3499" w:rsidP="008F3499">
      <w:pPr>
        <w:spacing w:before="240" w:line="276" w:lineRule="auto"/>
      </w:pPr>
      <w:r w:rsidRPr="008F3499">
        <w:rPr>
          <w:b/>
          <w:bCs/>
        </w:rPr>
        <w:t>9.1:</w:t>
      </w:r>
      <w:r w:rsidRPr="008F3499">
        <w:t xml:space="preserve"> Wherever possible, use PCR (single or multiplex) for confirmation of presence or absence of norovirus infection.</w:t>
      </w:r>
    </w:p>
    <w:p w14:paraId="31E2EC36" w14:textId="77777777" w:rsidR="008F3499" w:rsidRPr="008F3499" w:rsidRDefault="008F3499" w:rsidP="008F3499">
      <w:pPr>
        <w:spacing w:before="240" w:line="276" w:lineRule="auto"/>
      </w:pPr>
      <w:r w:rsidRPr="008F3499">
        <w:rPr>
          <w:b/>
          <w:bCs/>
        </w:rPr>
        <w:t>9.2:</w:t>
      </w:r>
      <w:r w:rsidRPr="008F3499">
        <w:t xml:space="preserve"> Do not use enzyme or immunochromatography assays as a sole negative test to exclude cases of norovirus. </w:t>
      </w:r>
    </w:p>
    <w:p w14:paraId="504F8812" w14:textId="77777777" w:rsidR="008F3499" w:rsidRPr="008F3499" w:rsidRDefault="008F3499" w:rsidP="008F3499">
      <w:pPr>
        <w:spacing w:before="240" w:line="276" w:lineRule="auto"/>
      </w:pPr>
      <w:r w:rsidRPr="008F3499">
        <w:rPr>
          <w:b/>
          <w:bCs/>
        </w:rPr>
        <w:t>GPP 9.1:</w:t>
      </w:r>
      <w:r w:rsidRPr="008F3499">
        <w:t xml:space="preserve"> Consider using enzyme or immunochromatography assays testing if PCR is not readily available and where these assays may provide a more rapid confirmation of positivity. </w:t>
      </w:r>
    </w:p>
    <w:p w14:paraId="47FAA158" w14:textId="77777777" w:rsidR="00FB4DA7" w:rsidRDefault="00FB4DA7" w:rsidP="008F3499">
      <w:pPr>
        <w:spacing w:before="240" w:line="276" w:lineRule="auto"/>
        <w:rPr>
          <w:b/>
          <w:bCs/>
        </w:rPr>
      </w:pPr>
    </w:p>
    <w:p w14:paraId="21FE509B" w14:textId="77777777" w:rsidR="00FB4DA7" w:rsidRDefault="00FB4DA7" w:rsidP="008F3499">
      <w:pPr>
        <w:spacing w:before="240" w:line="276" w:lineRule="auto"/>
        <w:rPr>
          <w:b/>
          <w:bCs/>
        </w:rPr>
      </w:pPr>
      <w:r w:rsidRPr="00FB4DA7">
        <w:rPr>
          <w:b/>
          <w:bCs/>
        </w:rPr>
        <w:t>What is the best method for storing and transport of specimens intended for norovirus screening/diagnosis?</w:t>
      </w:r>
    </w:p>
    <w:p w14:paraId="569875A3" w14:textId="0F8FFD8A" w:rsidR="008F3499" w:rsidRPr="008F3499" w:rsidRDefault="008F3499" w:rsidP="008F3499">
      <w:pPr>
        <w:spacing w:before="240" w:line="276" w:lineRule="auto"/>
      </w:pPr>
      <w:r w:rsidRPr="008F3499">
        <w:rPr>
          <w:b/>
          <w:bCs/>
        </w:rPr>
        <w:t>10.1:</w:t>
      </w:r>
      <w:r w:rsidRPr="008F3499">
        <w:t xml:space="preserve"> No recommendation</w:t>
      </w:r>
    </w:p>
    <w:p w14:paraId="58D3A043" w14:textId="77777777" w:rsidR="008F3499" w:rsidRPr="008F3499" w:rsidRDefault="008F3499" w:rsidP="008F3499">
      <w:pPr>
        <w:spacing w:before="240" w:line="276" w:lineRule="auto"/>
      </w:pPr>
      <w:r w:rsidRPr="008F3499">
        <w:rPr>
          <w:b/>
          <w:bCs/>
        </w:rPr>
        <w:t xml:space="preserve">GPP 10.1: </w:t>
      </w:r>
      <w:r w:rsidRPr="008F3499">
        <w:t xml:space="preserve">Use whole stool samples when sending the specimens for norovirus testing. </w:t>
      </w:r>
    </w:p>
    <w:p w14:paraId="49B81C3B" w14:textId="77777777" w:rsidR="008F3499" w:rsidRPr="008F3499" w:rsidRDefault="008F3499" w:rsidP="008F3499">
      <w:pPr>
        <w:spacing w:before="240" w:line="276" w:lineRule="auto"/>
        <w:rPr>
          <w:b/>
          <w:bCs/>
        </w:rPr>
      </w:pPr>
      <w:r w:rsidRPr="008F3499">
        <w:rPr>
          <w:b/>
          <w:bCs/>
        </w:rPr>
        <w:t>GPP 10.2:</w:t>
      </w:r>
      <w:r w:rsidRPr="008F3499">
        <w:t xml:space="preserve"> If there is an expected delay in transport or processing of the specimens intended for norovirus testing, store the stool samples at 4°C or below. </w:t>
      </w:r>
    </w:p>
    <w:p w14:paraId="46A3D196" w14:textId="77777777" w:rsidR="008F3499" w:rsidRPr="008F3499" w:rsidRDefault="008F3499" w:rsidP="008F3499">
      <w:pPr>
        <w:spacing w:before="240" w:line="276" w:lineRule="auto"/>
      </w:pPr>
    </w:p>
    <w:p w14:paraId="49D65C47" w14:textId="77777777" w:rsidR="00FB4DA7" w:rsidRDefault="00FB4DA7" w:rsidP="008F3499">
      <w:pPr>
        <w:spacing w:before="240" w:line="276" w:lineRule="auto"/>
        <w:rPr>
          <w:b/>
          <w:bCs/>
        </w:rPr>
      </w:pPr>
      <w:r w:rsidRPr="00FB4DA7">
        <w:rPr>
          <w:b/>
          <w:bCs/>
        </w:rPr>
        <w:t>What are the alternatives to faecal (stool) sampling for screening/diagnosing norovirus infection?</w:t>
      </w:r>
    </w:p>
    <w:p w14:paraId="3C6FA3D0" w14:textId="6ED0583F" w:rsidR="008F3499" w:rsidRPr="008F3499" w:rsidRDefault="008F3499" w:rsidP="008F3499">
      <w:pPr>
        <w:spacing w:before="240" w:line="276" w:lineRule="auto"/>
      </w:pPr>
      <w:r w:rsidRPr="008F3499">
        <w:rPr>
          <w:b/>
          <w:bCs/>
        </w:rPr>
        <w:t>11.1:</w:t>
      </w:r>
      <w:r w:rsidRPr="008F3499">
        <w:t xml:space="preserve"> Use faeces to test.</w:t>
      </w:r>
    </w:p>
    <w:p w14:paraId="7EA80F28" w14:textId="77777777" w:rsidR="008F3499" w:rsidRPr="008F3499" w:rsidRDefault="008F3499" w:rsidP="008F3499">
      <w:pPr>
        <w:spacing w:before="240" w:line="276" w:lineRule="auto"/>
      </w:pPr>
      <w:r w:rsidRPr="008F3499">
        <w:rPr>
          <w:b/>
          <w:bCs/>
        </w:rPr>
        <w:t>GPP 11.1:</w:t>
      </w:r>
      <w:r w:rsidRPr="008F3499">
        <w:t xml:space="preserve"> Use a rectal swab or vomit sample if it is not possible to use faeces but be aware that detection of norovirus from this specimen type is less sensitive than from a stool sample.</w:t>
      </w:r>
    </w:p>
    <w:p w14:paraId="4772AE60" w14:textId="77777777" w:rsidR="00FB4DA7" w:rsidRDefault="00FB4DA7" w:rsidP="008F3499">
      <w:pPr>
        <w:spacing w:before="240" w:line="276" w:lineRule="auto"/>
        <w:rPr>
          <w:b/>
          <w:bCs/>
        </w:rPr>
      </w:pPr>
    </w:p>
    <w:p w14:paraId="1FE1FC61" w14:textId="77777777" w:rsidR="00FB4DA7" w:rsidRDefault="00FB4DA7" w:rsidP="008F3499">
      <w:pPr>
        <w:spacing w:before="240" w:line="276" w:lineRule="auto"/>
        <w:rPr>
          <w:b/>
          <w:bCs/>
        </w:rPr>
      </w:pPr>
      <w:r w:rsidRPr="00FB4DA7">
        <w:rPr>
          <w:b/>
          <w:bCs/>
        </w:rPr>
        <w:t>What is the clinical and cost-effectiveness of closing and cohorting in the areas/facilities affected by norovirus?</w:t>
      </w:r>
    </w:p>
    <w:p w14:paraId="00B08139" w14:textId="43A80559" w:rsidR="008F3499" w:rsidRPr="008F3499" w:rsidRDefault="008F3499" w:rsidP="008F3499">
      <w:pPr>
        <w:spacing w:before="240" w:line="276" w:lineRule="auto"/>
      </w:pPr>
      <w:r w:rsidRPr="008F3499">
        <w:rPr>
          <w:b/>
          <w:bCs/>
        </w:rPr>
        <w:lastRenderedPageBreak/>
        <w:t>12.1:</w:t>
      </w:r>
      <w:r w:rsidRPr="008F3499">
        <w:t xml:space="preserve"> Regularly undertake a risk assessment with regards to consideration of rapid closure of an affected area(s) during an outbreak of norovirus infection. </w:t>
      </w:r>
    </w:p>
    <w:p w14:paraId="3AB1947C" w14:textId="77777777" w:rsidR="00FB4DA7" w:rsidRDefault="00FB4DA7" w:rsidP="008F3499">
      <w:pPr>
        <w:spacing w:before="240" w:line="276" w:lineRule="auto"/>
        <w:rPr>
          <w:b/>
          <w:bCs/>
        </w:rPr>
      </w:pPr>
    </w:p>
    <w:p w14:paraId="4543ADB6" w14:textId="77777777" w:rsidR="00FB4DA7" w:rsidRDefault="00FB4DA7" w:rsidP="008F3499">
      <w:pPr>
        <w:spacing w:before="240" w:line="276" w:lineRule="auto"/>
        <w:rPr>
          <w:b/>
          <w:bCs/>
        </w:rPr>
      </w:pPr>
      <w:r w:rsidRPr="00FB4DA7">
        <w:rPr>
          <w:b/>
          <w:bCs/>
        </w:rPr>
        <w:t>What is the effectiveness of restricting staff and visitor access in the areas affected by norovirus?</w:t>
      </w:r>
    </w:p>
    <w:p w14:paraId="4F8D9660" w14:textId="056D1823" w:rsidR="008F3499" w:rsidRPr="008F3499" w:rsidRDefault="008F3499" w:rsidP="008F3499">
      <w:pPr>
        <w:spacing w:before="240" w:line="276" w:lineRule="auto"/>
      </w:pPr>
      <w:r w:rsidRPr="008F3499">
        <w:rPr>
          <w:b/>
          <w:bCs/>
        </w:rPr>
        <w:t>13.1:</w:t>
      </w:r>
      <w:r w:rsidRPr="008F3499">
        <w:t xml:space="preserve"> No recommendation </w:t>
      </w:r>
    </w:p>
    <w:p w14:paraId="68593F14" w14:textId="77777777" w:rsidR="008F3499" w:rsidRPr="008F3499" w:rsidRDefault="008F3499" w:rsidP="008F3499">
      <w:pPr>
        <w:spacing w:before="240" w:line="276" w:lineRule="auto"/>
      </w:pPr>
      <w:r w:rsidRPr="008F3499">
        <w:rPr>
          <w:b/>
          <w:bCs/>
        </w:rPr>
        <w:t>GPP 13.1:</w:t>
      </w:r>
      <w:r w:rsidRPr="008F3499">
        <w:t xml:space="preserve"> Undertake a risk assessment and consider whether staff and visitor restrictions are necessary in particular outbreaks or settings. </w:t>
      </w:r>
    </w:p>
    <w:p w14:paraId="42D5DB20" w14:textId="77777777" w:rsidR="008F3499" w:rsidRPr="008F3499" w:rsidRDefault="008F3499" w:rsidP="008F3499">
      <w:pPr>
        <w:spacing w:before="240" w:line="276" w:lineRule="auto"/>
      </w:pPr>
      <w:r w:rsidRPr="008F3499">
        <w:rPr>
          <w:b/>
          <w:bCs/>
        </w:rPr>
        <w:t>GPP 13.2:</w:t>
      </w:r>
      <w:r w:rsidRPr="008F3499">
        <w:t xml:space="preserve"> Consider communication with visitors before restrictions are introduced. </w:t>
      </w:r>
    </w:p>
    <w:p w14:paraId="214433F1" w14:textId="77777777" w:rsidR="008F3499" w:rsidRPr="008F3499" w:rsidRDefault="008F3499" w:rsidP="008F3499">
      <w:pPr>
        <w:spacing w:before="240" w:line="276" w:lineRule="auto"/>
      </w:pPr>
      <w:r w:rsidRPr="008F3499">
        <w:rPr>
          <w:b/>
          <w:bCs/>
        </w:rPr>
        <w:t>GPP 13.3:</w:t>
      </w:r>
      <w:r w:rsidRPr="008F3499">
        <w:t xml:space="preserve"> When visitor restrictions are not in place, communicate with visitors about the control measures that the visitors are expected to follow, e.g. hand-hygiene policies, use of personal protective equipment etc. </w:t>
      </w:r>
    </w:p>
    <w:p w14:paraId="50896BCF" w14:textId="77777777" w:rsidR="008F3499" w:rsidRPr="008F3499" w:rsidRDefault="008F3499" w:rsidP="008F3499">
      <w:pPr>
        <w:spacing w:before="240" w:line="276" w:lineRule="auto"/>
      </w:pPr>
      <w:r w:rsidRPr="008F3499">
        <w:rPr>
          <w:b/>
          <w:bCs/>
        </w:rPr>
        <w:t>GPP 13.4:</w:t>
      </w:r>
      <w:r w:rsidRPr="008F3499">
        <w:t xml:space="preserve"> When visitor restrictions are in place, consider alternatives for the patients to maintain contact with their family and friends e.g. by providing facilities for virtual/no contact visits. </w:t>
      </w:r>
    </w:p>
    <w:p w14:paraId="5B17CB35" w14:textId="77777777" w:rsidR="00FB4DA7" w:rsidRDefault="00FB4DA7" w:rsidP="008F3499">
      <w:pPr>
        <w:spacing w:before="240" w:line="276" w:lineRule="auto"/>
        <w:rPr>
          <w:b/>
          <w:bCs/>
        </w:rPr>
      </w:pPr>
    </w:p>
    <w:p w14:paraId="01A87CB6" w14:textId="77777777" w:rsidR="00FB4DA7" w:rsidRDefault="00FB4DA7" w:rsidP="008F3499">
      <w:pPr>
        <w:spacing w:before="240" w:line="276" w:lineRule="auto"/>
        <w:rPr>
          <w:b/>
          <w:bCs/>
        </w:rPr>
      </w:pPr>
      <w:r w:rsidRPr="00FB4DA7">
        <w:rPr>
          <w:b/>
          <w:bCs/>
        </w:rPr>
        <w:t>What is the effectiveness of a hand gel in comparison to hand washing in removing norovirus from contaminated hands?</w:t>
      </w:r>
    </w:p>
    <w:p w14:paraId="5B7D4128" w14:textId="4E1E762D" w:rsidR="008F3499" w:rsidRPr="008F3499" w:rsidRDefault="008F3499" w:rsidP="008F3499">
      <w:pPr>
        <w:spacing w:before="240" w:line="276" w:lineRule="auto"/>
      </w:pPr>
      <w:r w:rsidRPr="008F3499">
        <w:rPr>
          <w:b/>
          <w:bCs/>
        </w:rPr>
        <w:t>14.1:</w:t>
      </w:r>
      <w:r w:rsidRPr="008F3499">
        <w:t xml:space="preserve"> During norovirus outbreaks, encourage all individuals to perform stringent hand hygiene using soap and water. </w:t>
      </w:r>
    </w:p>
    <w:p w14:paraId="6F398840" w14:textId="77777777" w:rsidR="008F3499" w:rsidRPr="008F3499" w:rsidRDefault="008F3499" w:rsidP="008F3499">
      <w:pPr>
        <w:spacing w:before="240" w:line="276" w:lineRule="auto"/>
      </w:pPr>
      <w:r w:rsidRPr="008F3499">
        <w:rPr>
          <w:b/>
          <w:bCs/>
        </w:rPr>
        <w:t>14.2:</w:t>
      </w:r>
      <w:r w:rsidRPr="008F3499">
        <w:t xml:space="preserve"> Consider monitoring whether appropriate hand washing takes place. </w:t>
      </w:r>
    </w:p>
    <w:p w14:paraId="0FCA1410" w14:textId="77777777" w:rsidR="008F3499" w:rsidRPr="008F3499" w:rsidRDefault="008F3499" w:rsidP="008F3499">
      <w:pPr>
        <w:spacing w:before="240" w:line="276" w:lineRule="auto"/>
      </w:pPr>
      <w:r w:rsidRPr="008F3499">
        <w:rPr>
          <w:b/>
          <w:bCs/>
        </w:rPr>
        <w:t>GPP 14.1:</w:t>
      </w:r>
      <w:r w:rsidRPr="008F3499">
        <w:t xml:space="preserve"> Encourage the use of appropriate hand washing technique with the WHO five moments of hand hygiene. </w:t>
      </w:r>
    </w:p>
    <w:p w14:paraId="5670714B" w14:textId="77777777" w:rsidR="008F3499" w:rsidRPr="008F3499" w:rsidRDefault="008F3499" w:rsidP="008F3499">
      <w:pPr>
        <w:spacing w:before="240" w:line="276" w:lineRule="auto"/>
        <w:rPr>
          <w:i/>
          <w:iCs/>
          <w:color w:val="1F497D"/>
        </w:rPr>
      </w:pPr>
      <w:r w:rsidRPr="008F3499">
        <w:rPr>
          <w:b/>
          <w:bCs/>
        </w:rPr>
        <w:t>GPP 14.2:</w:t>
      </w:r>
      <w:r w:rsidRPr="008F3499">
        <w:t xml:space="preserve"> Support patients with appropriate hand hygiene. Consider the use of a suitable hand hygiene alternative (e.g. detergent hand wipes) when it is not feasible for the patients to use soap and water. </w:t>
      </w:r>
    </w:p>
    <w:p w14:paraId="32B72F07" w14:textId="77777777" w:rsidR="008F3499" w:rsidRPr="008F3499" w:rsidRDefault="008F3499" w:rsidP="008F3499">
      <w:pPr>
        <w:spacing w:before="240" w:line="276" w:lineRule="auto"/>
      </w:pPr>
      <w:r w:rsidRPr="008F3499">
        <w:rPr>
          <w:b/>
          <w:bCs/>
        </w:rPr>
        <w:t xml:space="preserve">GPP 14.3: </w:t>
      </w:r>
      <w:r w:rsidRPr="008F3499">
        <w:t xml:space="preserve">During norovirus outbreaks, consider temporarily removing alcohol hand rub from the facility. </w:t>
      </w:r>
    </w:p>
    <w:p w14:paraId="3893DEC9" w14:textId="77777777" w:rsidR="008F3499" w:rsidRPr="008F3499" w:rsidRDefault="008F3499" w:rsidP="008F3499">
      <w:pPr>
        <w:spacing w:before="240" w:line="276" w:lineRule="auto"/>
      </w:pPr>
      <w:r w:rsidRPr="008F3499">
        <w:rPr>
          <w:b/>
          <w:bCs/>
        </w:rPr>
        <w:t>GPP 14.4:</w:t>
      </w:r>
      <w:r w:rsidRPr="008F3499">
        <w:t xml:space="preserve"> Provide appropriate information to educate staff, patients and visitors that the use of soap and water is superior to alcohol hand rubs in preventing norovirus transmission. </w:t>
      </w:r>
    </w:p>
    <w:p w14:paraId="1BD68430" w14:textId="77777777" w:rsidR="008F3499" w:rsidRPr="008F3499" w:rsidRDefault="008F3499" w:rsidP="008F3499">
      <w:pPr>
        <w:spacing w:before="240" w:line="276" w:lineRule="auto"/>
      </w:pPr>
      <w:r w:rsidRPr="008F3499">
        <w:rPr>
          <w:b/>
          <w:bCs/>
        </w:rPr>
        <w:t>GPP 14.5:</w:t>
      </w:r>
      <w:r w:rsidRPr="008F3499">
        <w:t xml:space="preserve"> Ensure that suitable facilities are provided to ensure that appropriate hand hygiene is performed. Consider using hand wipes, portable water stations as required in environments where fixed sinks are not available e.g., in secure environments. </w:t>
      </w:r>
    </w:p>
    <w:p w14:paraId="1A18C50E" w14:textId="77777777" w:rsidR="00FB4DA7" w:rsidRDefault="00FB4DA7" w:rsidP="008F3499">
      <w:pPr>
        <w:spacing w:before="240" w:line="276" w:lineRule="auto"/>
        <w:rPr>
          <w:b/>
          <w:bCs/>
        </w:rPr>
      </w:pPr>
    </w:p>
    <w:p w14:paraId="645D3119" w14:textId="77777777" w:rsidR="00FB4DA7" w:rsidRDefault="00FB4DA7" w:rsidP="008F3499">
      <w:pPr>
        <w:spacing w:before="240" w:line="276" w:lineRule="auto"/>
        <w:rPr>
          <w:b/>
          <w:bCs/>
        </w:rPr>
      </w:pPr>
      <w:r w:rsidRPr="00FB4DA7">
        <w:rPr>
          <w:b/>
          <w:bCs/>
        </w:rPr>
        <w:lastRenderedPageBreak/>
        <w:t>What is the effectiveness of different types of personal protective equipment in preventing norovirus transmission?</w:t>
      </w:r>
    </w:p>
    <w:p w14:paraId="6B39DAA6" w14:textId="586CE36A" w:rsidR="008F3499" w:rsidRPr="008F3499" w:rsidRDefault="008F3499" w:rsidP="008F3499">
      <w:pPr>
        <w:spacing w:before="240" w:line="276" w:lineRule="auto"/>
      </w:pPr>
      <w:r w:rsidRPr="008F3499">
        <w:rPr>
          <w:b/>
          <w:bCs/>
        </w:rPr>
        <w:t>15.1:</w:t>
      </w:r>
      <w:r w:rsidRPr="008F3499">
        <w:t xml:space="preserve"> Use gloves and aprons when caring for symptomatic norovirus patients. </w:t>
      </w:r>
    </w:p>
    <w:p w14:paraId="237DF72E" w14:textId="77777777" w:rsidR="008F3499" w:rsidRPr="008F3499" w:rsidRDefault="008F3499" w:rsidP="008F3499">
      <w:pPr>
        <w:spacing w:before="240" w:line="276" w:lineRule="auto"/>
      </w:pPr>
      <w:r w:rsidRPr="008F3499">
        <w:rPr>
          <w:b/>
          <w:bCs/>
        </w:rPr>
        <w:t>GPP 15.1:</w:t>
      </w:r>
      <w:r w:rsidRPr="008F3499">
        <w:t xml:space="preserve"> Consider using fluid-repellent surgical masks/eye protection when there is a risk of splashes of bodily fluids to the face. </w:t>
      </w:r>
    </w:p>
    <w:p w14:paraId="12112A09" w14:textId="77777777" w:rsidR="00FB4DA7" w:rsidRDefault="00FB4DA7" w:rsidP="008F3499">
      <w:pPr>
        <w:spacing w:before="240" w:line="276" w:lineRule="auto"/>
        <w:rPr>
          <w:b/>
          <w:bCs/>
        </w:rPr>
      </w:pPr>
    </w:p>
    <w:p w14:paraId="5D408547" w14:textId="77777777" w:rsidR="00FB4DA7" w:rsidRDefault="00FB4DA7" w:rsidP="008F3499">
      <w:pPr>
        <w:spacing w:before="240" w:line="276" w:lineRule="auto"/>
        <w:rPr>
          <w:b/>
          <w:bCs/>
        </w:rPr>
      </w:pPr>
      <w:r w:rsidRPr="00FB4DA7">
        <w:rPr>
          <w:b/>
          <w:bCs/>
        </w:rPr>
        <w:t>What is the value of performing environmental sampling in the management of norovirus outbreaks?</w:t>
      </w:r>
    </w:p>
    <w:p w14:paraId="4AF5B87C" w14:textId="26531B06" w:rsidR="008F3499" w:rsidRPr="008F3499" w:rsidRDefault="008F3499" w:rsidP="008F3499">
      <w:pPr>
        <w:spacing w:before="240" w:line="276" w:lineRule="auto"/>
      </w:pPr>
      <w:r w:rsidRPr="008F3499">
        <w:rPr>
          <w:b/>
          <w:bCs/>
        </w:rPr>
        <w:t>16.1:</w:t>
      </w:r>
      <w:r w:rsidRPr="008F3499">
        <w:t xml:space="preserve"> Do not routinely screen the environment for norovirus, neither during outbreaks, nor in non-outbreak situations.</w:t>
      </w:r>
    </w:p>
    <w:p w14:paraId="2EDDDFAB" w14:textId="77777777" w:rsidR="008F3499" w:rsidRPr="008F3499" w:rsidRDefault="008F3499" w:rsidP="008F3499">
      <w:pPr>
        <w:spacing w:before="240" w:line="276" w:lineRule="auto"/>
      </w:pPr>
      <w:r w:rsidRPr="008F3499">
        <w:rPr>
          <w:b/>
          <w:bCs/>
        </w:rPr>
        <w:t>GPP 16.1:</w:t>
      </w:r>
      <w:r w:rsidRPr="008F3499">
        <w:t xml:space="preserve"> Consider environmental sampling for norovirus to inform IPC measures during prolonged, unusual, or difficult outbreaks.</w:t>
      </w:r>
    </w:p>
    <w:p w14:paraId="0514C304" w14:textId="77777777" w:rsidR="00FB4DA7" w:rsidRDefault="00FB4DA7" w:rsidP="008F3499">
      <w:pPr>
        <w:spacing w:before="240" w:line="276" w:lineRule="auto"/>
        <w:rPr>
          <w:b/>
          <w:bCs/>
        </w:rPr>
      </w:pPr>
    </w:p>
    <w:p w14:paraId="01C78F24" w14:textId="77777777" w:rsidR="00FB4DA7" w:rsidRDefault="00FB4DA7" w:rsidP="008F3499">
      <w:pPr>
        <w:spacing w:before="240" w:line="276" w:lineRule="auto"/>
        <w:rPr>
          <w:b/>
          <w:bCs/>
        </w:rPr>
      </w:pPr>
      <w:r w:rsidRPr="00FB4DA7">
        <w:rPr>
          <w:b/>
          <w:bCs/>
        </w:rPr>
        <w:t>What are the most effective cleaning agents and technologies for reducing contamination of the environment and minimising the transmission of norovirus?</w:t>
      </w:r>
    </w:p>
    <w:p w14:paraId="0D3EFAFD" w14:textId="65BC3EF1" w:rsidR="008F3499" w:rsidRPr="008F3499" w:rsidRDefault="008F3499" w:rsidP="008F3499">
      <w:pPr>
        <w:spacing w:before="240" w:line="276" w:lineRule="auto"/>
      </w:pPr>
      <w:r w:rsidRPr="008F3499">
        <w:rPr>
          <w:b/>
          <w:bCs/>
        </w:rPr>
        <w:t xml:space="preserve">17.1: </w:t>
      </w:r>
      <w:r w:rsidRPr="008F3499">
        <w:t xml:space="preserve">Ensure that appropriate cleaning, including the removal of organic soiling, precedes disinfection. </w:t>
      </w:r>
    </w:p>
    <w:p w14:paraId="442F6558" w14:textId="77777777" w:rsidR="008F3499" w:rsidRPr="008F3499" w:rsidRDefault="008F3499" w:rsidP="008F3499">
      <w:pPr>
        <w:spacing w:before="240" w:line="276" w:lineRule="auto"/>
      </w:pPr>
      <w:r w:rsidRPr="008F3499">
        <w:rPr>
          <w:b/>
          <w:bCs/>
        </w:rPr>
        <w:t xml:space="preserve">17.2: </w:t>
      </w:r>
      <w:r w:rsidRPr="008F3499">
        <w:t xml:space="preserve">Ensure that all staff involved in the environmental cleaning are trained to achieve appropriate cleaning standards. </w:t>
      </w:r>
    </w:p>
    <w:p w14:paraId="3550AB42" w14:textId="77777777" w:rsidR="008F3499" w:rsidRPr="008F3499" w:rsidRDefault="008F3499" w:rsidP="008F3499">
      <w:pPr>
        <w:spacing w:before="240" w:line="276" w:lineRule="auto"/>
      </w:pPr>
      <w:r w:rsidRPr="008F3499">
        <w:rPr>
          <w:b/>
          <w:bCs/>
        </w:rPr>
        <w:t xml:space="preserve">GPP 17.1: </w:t>
      </w:r>
      <w:r w:rsidRPr="008F3499">
        <w:t xml:space="preserve">Use 0.1% (1000ppm) hypochlorite for disinfection of all appropriate surfaces during norovirus outbreaks. </w:t>
      </w:r>
    </w:p>
    <w:p w14:paraId="72C6C55C" w14:textId="77777777" w:rsidR="008F3499" w:rsidRPr="008F3499" w:rsidRDefault="008F3499" w:rsidP="008F3499">
      <w:pPr>
        <w:spacing w:before="240" w:line="276" w:lineRule="auto"/>
      </w:pPr>
      <w:r w:rsidRPr="008F3499">
        <w:rPr>
          <w:b/>
          <w:bCs/>
        </w:rPr>
        <w:t>GPP 17.2:</w:t>
      </w:r>
      <w:r w:rsidRPr="008F3499">
        <w:t xml:space="preserve"> Consider using automated room decontamination devices for norovirus outbreaks when, despite the standard IPC measures being in place, there is evidence of ongoing transmission from the environment. </w:t>
      </w:r>
    </w:p>
    <w:p w14:paraId="4E8E5813" w14:textId="77777777" w:rsidR="008F3499" w:rsidRPr="008F3499" w:rsidRDefault="008F3499" w:rsidP="008F3499">
      <w:pPr>
        <w:spacing w:before="240" w:line="276" w:lineRule="auto"/>
      </w:pPr>
      <w:r w:rsidRPr="008F3499">
        <w:rPr>
          <w:b/>
          <w:bCs/>
        </w:rPr>
        <w:t xml:space="preserve">GPP 17.3: </w:t>
      </w:r>
      <w:r w:rsidRPr="008F3499">
        <w:t xml:space="preserve">Avoid soft furnishings and use wipeable materials that are non-permeable and easy to decontaminate (e.g. vinyl). </w:t>
      </w:r>
    </w:p>
    <w:p w14:paraId="0E0AFB4B" w14:textId="77777777" w:rsidR="00FB4DA7" w:rsidRDefault="00FB4DA7" w:rsidP="008F3499">
      <w:pPr>
        <w:spacing w:before="240" w:line="276" w:lineRule="auto"/>
        <w:rPr>
          <w:b/>
          <w:bCs/>
        </w:rPr>
      </w:pPr>
    </w:p>
    <w:p w14:paraId="3F486F5E" w14:textId="77777777" w:rsidR="00FB4DA7" w:rsidRDefault="00FB4DA7" w:rsidP="008F3499">
      <w:pPr>
        <w:spacing w:before="240" w:line="276" w:lineRule="auto"/>
        <w:rPr>
          <w:b/>
          <w:bCs/>
        </w:rPr>
      </w:pPr>
      <w:r w:rsidRPr="00FB4DA7">
        <w:rPr>
          <w:b/>
          <w:bCs/>
        </w:rPr>
        <w:t>How should terminal cleaning be conducted?</w:t>
      </w:r>
    </w:p>
    <w:p w14:paraId="1A23D8B3" w14:textId="182785E5" w:rsidR="008F3499" w:rsidRPr="008F3499" w:rsidRDefault="008F3499" w:rsidP="008F3499">
      <w:pPr>
        <w:spacing w:before="240" w:line="276" w:lineRule="auto"/>
      </w:pPr>
      <w:r w:rsidRPr="008F3499">
        <w:rPr>
          <w:b/>
          <w:bCs/>
        </w:rPr>
        <w:t>18.1:</w:t>
      </w:r>
      <w:r w:rsidRPr="008F3499">
        <w:t xml:space="preserve"> Conduct terminal cleaning as per local policy. </w:t>
      </w:r>
    </w:p>
    <w:p w14:paraId="7A139702" w14:textId="65620BFD" w:rsidR="008F3499" w:rsidRPr="008F3499" w:rsidRDefault="008F3499" w:rsidP="008F3499">
      <w:pPr>
        <w:spacing w:before="240" w:line="276" w:lineRule="auto"/>
      </w:pPr>
      <w:r w:rsidRPr="008F3499">
        <w:rPr>
          <w:b/>
          <w:bCs/>
        </w:rPr>
        <w:t>GPP 18.1:</w:t>
      </w:r>
      <w:r w:rsidRPr="008F3499">
        <w:t xml:space="preserve"> For occupied single rooms, delay terminal cleaning until at least 48 hours after the patient’s symptoms of </w:t>
      </w:r>
      <w:r w:rsidR="005834C7">
        <w:t>norovirus</w:t>
      </w:r>
      <w:r w:rsidRPr="008F3499">
        <w:t xml:space="preserve"> have resolved. Consult the IPC team to establish if there is a need for this period to be extended.</w:t>
      </w:r>
    </w:p>
    <w:p w14:paraId="5C951C17" w14:textId="77777777" w:rsidR="008F3499" w:rsidRPr="008F3499" w:rsidRDefault="008F3499" w:rsidP="008F3499">
      <w:pPr>
        <w:spacing w:before="240" w:line="276" w:lineRule="auto"/>
        <w:rPr>
          <w:b/>
          <w:bCs/>
        </w:rPr>
      </w:pPr>
      <w:r w:rsidRPr="008F3499">
        <w:rPr>
          <w:b/>
          <w:bCs/>
        </w:rPr>
        <w:lastRenderedPageBreak/>
        <w:t xml:space="preserve">GPP 18.2: </w:t>
      </w:r>
      <w:r w:rsidRPr="008F3499">
        <w:t>For occupied, shared patient areas or multi-occupancy rooms, undertake terminal cleaning a minimum of 72 hours after the last symptoms of norovirus have resolved.</w:t>
      </w:r>
    </w:p>
    <w:p w14:paraId="6ECBEFA1" w14:textId="77777777" w:rsidR="00FB4DA7" w:rsidRDefault="00FB4DA7" w:rsidP="008F3499">
      <w:pPr>
        <w:spacing w:before="240" w:line="276" w:lineRule="auto"/>
        <w:rPr>
          <w:b/>
          <w:bCs/>
        </w:rPr>
      </w:pPr>
    </w:p>
    <w:p w14:paraId="38C9C64B" w14:textId="77777777" w:rsidR="00FB4DA7" w:rsidRDefault="00FB4DA7" w:rsidP="008F3499">
      <w:pPr>
        <w:spacing w:before="240" w:line="276" w:lineRule="auto"/>
        <w:rPr>
          <w:b/>
          <w:bCs/>
        </w:rPr>
      </w:pPr>
      <w:r w:rsidRPr="00FB4DA7">
        <w:rPr>
          <w:b/>
          <w:bCs/>
        </w:rPr>
        <w:t>How should the cleaning equipment be handled after being used in areas affected by norovirus?</w:t>
      </w:r>
    </w:p>
    <w:p w14:paraId="101E4F11" w14:textId="19890677" w:rsidR="008F3499" w:rsidRPr="008F3499" w:rsidRDefault="008F3499" w:rsidP="008F3499">
      <w:pPr>
        <w:spacing w:before="240" w:line="276" w:lineRule="auto"/>
      </w:pPr>
      <w:r w:rsidRPr="008F3499">
        <w:rPr>
          <w:b/>
          <w:bCs/>
        </w:rPr>
        <w:t>19.1:</w:t>
      </w:r>
      <w:r w:rsidRPr="008F3499">
        <w:t xml:space="preserve"> Do not reuse cleaning equipment following the cleaning of contaminated areas. </w:t>
      </w:r>
    </w:p>
    <w:p w14:paraId="2BC9E69C" w14:textId="77777777" w:rsidR="008F3499" w:rsidRPr="008F3499" w:rsidRDefault="008F3499" w:rsidP="008F3499">
      <w:pPr>
        <w:spacing w:before="240" w:line="276" w:lineRule="auto"/>
      </w:pPr>
      <w:r w:rsidRPr="008F3499">
        <w:rPr>
          <w:b/>
          <w:bCs/>
        </w:rPr>
        <w:t>GPP 19.1:</w:t>
      </w:r>
      <w:r w:rsidRPr="008F3499">
        <w:t xml:space="preserve"> Provide training to staff to ensure that an appropriate sequence of cleaning takes place and that the equipment is changed when required. </w:t>
      </w:r>
    </w:p>
    <w:p w14:paraId="4B59AB3F" w14:textId="77777777" w:rsidR="00FB4DA7" w:rsidRDefault="00FB4DA7" w:rsidP="008F3499">
      <w:pPr>
        <w:spacing w:before="240" w:line="276" w:lineRule="auto"/>
        <w:rPr>
          <w:b/>
          <w:bCs/>
        </w:rPr>
      </w:pPr>
    </w:p>
    <w:p w14:paraId="0BB0B257" w14:textId="77777777" w:rsidR="00FB4DA7" w:rsidRDefault="00FB4DA7" w:rsidP="008F3499">
      <w:pPr>
        <w:spacing w:before="240" w:line="276" w:lineRule="auto"/>
        <w:rPr>
          <w:b/>
          <w:bCs/>
        </w:rPr>
      </w:pPr>
      <w:r w:rsidRPr="00FB4DA7">
        <w:rPr>
          <w:b/>
          <w:bCs/>
        </w:rPr>
        <w:t>What is the clinical and cost-effectiveness of enhanced routine cleaning during an outbreak of norovirus?</w:t>
      </w:r>
    </w:p>
    <w:p w14:paraId="41FDE813" w14:textId="72824C29" w:rsidR="008F3499" w:rsidRPr="008F3499" w:rsidRDefault="008F3499" w:rsidP="008F3499">
      <w:pPr>
        <w:spacing w:before="240" w:line="276" w:lineRule="auto"/>
      </w:pPr>
      <w:r w:rsidRPr="008F3499">
        <w:rPr>
          <w:b/>
          <w:bCs/>
        </w:rPr>
        <w:t>20.1:</w:t>
      </w:r>
      <w:r w:rsidRPr="008F3499">
        <w:t xml:space="preserve"> No recommendation</w:t>
      </w:r>
    </w:p>
    <w:p w14:paraId="218FF553" w14:textId="77777777" w:rsidR="008F3499" w:rsidRPr="008F3499" w:rsidRDefault="008F3499" w:rsidP="008F3499">
      <w:pPr>
        <w:spacing w:before="240" w:line="276" w:lineRule="auto"/>
      </w:pPr>
      <w:r w:rsidRPr="008F3499">
        <w:rPr>
          <w:b/>
          <w:bCs/>
        </w:rPr>
        <w:t xml:space="preserve">GPP 20.1 </w:t>
      </w:r>
      <w:r w:rsidRPr="008F3499">
        <w:t>Introduce a higher frequency of manual cleaning during outbreaks with particular emphasis on high-touch areas and toilets/commodes.</w:t>
      </w:r>
    </w:p>
    <w:p w14:paraId="2AC345D3" w14:textId="77777777" w:rsidR="008F3499" w:rsidRPr="008F3499" w:rsidRDefault="008F3499" w:rsidP="008F3499">
      <w:pPr>
        <w:spacing w:before="240" w:line="276" w:lineRule="auto"/>
      </w:pPr>
      <w:r w:rsidRPr="008F3499">
        <w:rPr>
          <w:b/>
          <w:bCs/>
        </w:rPr>
        <w:t>GPP 20.2</w:t>
      </w:r>
      <w:r w:rsidRPr="008F3499">
        <w:t xml:space="preserve"> Immediately clean up gross contamination following any uncontained incidents. </w:t>
      </w:r>
    </w:p>
    <w:p w14:paraId="34A8E1C9" w14:textId="77777777" w:rsidR="00FB4DA7" w:rsidRDefault="00FB4DA7" w:rsidP="008F3499">
      <w:pPr>
        <w:spacing w:before="240" w:line="276" w:lineRule="auto"/>
        <w:rPr>
          <w:b/>
          <w:bCs/>
        </w:rPr>
      </w:pPr>
    </w:p>
    <w:p w14:paraId="3805C04B" w14:textId="77777777" w:rsidR="00FB4DA7" w:rsidRDefault="00FB4DA7" w:rsidP="008F3499">
      <w:pPr>
        <w:spacing w:before="240" w:line="276" w:lineRule="auto"/>
        <w:rPr>
          <w:b/>
          <w:bCs/>
        </w:rPr>
      </w:pPr>
      <w:r w:rsidRPr="00FB4DA7">
        <w:rPr>
          <w:b/>
          <w:bCs/>
        </w:rPr>
        <w:t>How should food and drinks be stored and handled in areas affected by norovirus?</w:t>
      </w:r>
    </w:p>
    <w:p w14:paraId="2531AA69" w14:textId="35FCA2FE" w:rsidR="008F3499" w:rsidRPr="008F3499" w:rsidRDefault="008F3499" w:rsidP="008F3499">
      <w:pPr>
        <w:spacing w:before="240" w:line="276" w:lineRule="auto"/>
      </w:pPr>
      <w:r w:rsidRPr="008F3499">
        <w:rPr>
          <w:b/>
          <w:bCs/>
        </w:rPr>
        <w:t xml:space="preserve">21.1 </w:t>
      </w:r>
      <w:r w:rsidRPr="008F3499">
        <w:t>No recommendation</w:t>
      </w:r>
    </w:p>
    <w:p w14:paraId="670AF207" w14:textId="77777777" w:rsidR="008F3499" w:rsidRPr="008F3499" w:rsidRDefault="008F3499" w:rsidP="008F3499">
      <w:pPr>
        <w:spacing w:before="240" w:line="276" w:lineRule="auto"/>
      </w:pPr>
      <w:r w:rsidRPr="008F3499">
        <w:rPr>
          <w:b/>
          <w:bCs/>
        </w:rPr>
        <w:t>GPP 21.1</w:t>
      </w:r>
      <w:r w:rsidRPr="008F3499">
        <w:t xml:space="preserve"> To reduce potential transmission, offer food which is covered, individually wrapped, or placed in closed drawers/cupboards. </w:t>
      </w:r>
    </w:p>
    <w:p w14:paraId="29F3E344" w14:textId="77777777" w:rsidR="008F3499" w:rsidRPr="008F3499" w:rsidRDefault="008F3499" w:rsidP="008F3499">
      <w:pPr>
        <w:spacing w:before="240" w:line="276" w:lineRule="auto"/>
      </w:pPr>
      <w:r w:rsidRPr="008F3499">
        <w:rPr>
          <w:b/>
          <w:bCs/>
        </w:rPr>
        <w:t>GPP 21.2</w:t>
      </w:r>
      <w:r w:rsidRPr="008F3499">
        <w:t xml:space="preserve"> Remove all exposed and communal food and utensils. </w:t>
      </w:r>
    </w:p>
    <w:p w14:paraId="0C6270B0" w14:textId="77777777" w:rsidR="008F3499" w:rsidRPr="008F3499" w:rsidRDefault="008F3499" w:rsidP="008F3499">
      <w:pPr>
        <w:spacing w:before="240" w:line="276" w:lineRule="auto"/>
      </w:pPr>
      <w:r w:rsidRPr="008F3499">
        <w:rPr>
          <w:b/>
          <w:bCs/>
        </w:rPr>
        <w:t>GPP 21.3</w:t>
      </w:r>
      <w:r w:rsidRPr="008F3499">
        <w:t xml:space="preserve"> Replace drinks and drinking cups/glasses which have been exposed to contamination (i.e. uncontained vomiting and diarrhoea). </w:t>
      </w:r>
    </w:p>
    <w:p w14:paraId="3789C044" w14:textId="77777777" w:rsidR="008F3499" w:rsidRPr="008F3499" w:rsidRDefault="008F3499" w:rsidP="008F3499">
      <w:pPr>
        <w:spacing w:before="240" w:line="276" w:lineRule="auto"/>
      </w:pPr>
      <w:r w:rsidRPr="008F3499">
        <w:rPr>
          <w:b/>
          <w:bCs/>
        </w:rPr>
        <w:t>GPP 21.4</w:t>
      </w:r>
      <w:r w:rsidRPr="008F3499">
        <w:t xml:space="preserve"> Ensure that appropriate support is offered to maintain nutrition and hydration status. </w:t>
      </w:r>
    </w:p>
    <w:p w14:paraId="7EC0D837" w14:textId="77777777" w:rsidR="00FB4DA7" w:rsidRDefault="00FB4DA7" w:rsidP="008F3499">
      <w:pPr>
        <w:spacing w:before="240" w:line="276" w:lineRule="auto"/>
        <w:rPr>
          <w:b/>
          <w:bCs/>
        </w:rPr>
      </w:pPr>
    </w:p>
    <w:p w14:paraId="3BA6377E" w14:textId="77777777" w:rsidR="00FB4DA7" w:rsidRDefault="00FB4DA7" w:rsidP="008F3499">
      <w:pPr>
        <w:spacing w:before="240" w:line="276" w:lineRule="auto"/>
        <w:rPr>
          <w:b/>
          <w:bCs/>
        </w:rPr>
      </w:pPr>
      <w:r w:rsidRPr="00FB4DA7">
        <w:rPr>
          <w:b/>
          <w:bCs/>
        </w:rPr>
        <w:t>How should communal items/equipment be handled in areas affected by norovirus?</w:t>
      </w:r>
    </w:p>
    <w:p w14:paraId="7E989967" w14:textId="34A1BB96" w:rsidR="008F3499" w:rsidRPr="008F3499" w:rsidRDefault="008F3499" w:rsidP="008F3499">
      <w:pPr>
        <w:spacing w:before="240" w:line="276" w:lineRule="auto"/>
      </w:pPr>
      <w:r w:rsidRPr="008F3499">
        <w:rPr>
          <w:b/>
          <w:bCs/>
        </w:rPr>
        <w:t>22.1:</w:t>
      </w:r>
      <w:r w:rsidRPr="008F3499">
        <w:t xml:space="preserve"> No recommendation.</w:t>
      </w:r>
    </w:p>
    <w:p w14:paraId="2F412635" w14:textId="77777777" w:rsidR="002044E3" w:rsidRDefault="002044E3" w:rsidP="002044E3">
      <w:pPr>
        <w:spacing w:before="240" w:line="276" w:lineRule="auto"/>
      </w:pPr>
      <w:r w:rsidRPr="00F84BAC">
        <w:rPr>
          <w:b/>
          <w:bCs/>
        </w:rPr>
        <w:t>GPP 22.1:</w:t>
      </w:r>
      <w:r>
        <w:t xml:space="preserve"> Decontaminate all equipment (including toys and any other items shared by patients) as per manufacturers’ instructions and as per local policy. </w:t>
      </w:r>
    </w:p>
    <w:p w14:paraId="71639079" w14:textId="77777777" w:rsidR="002044E3" w:rsidRDefault="002044E3" w:rsidP="002044E3">
      <w:pPr>
        <w:spacing w:before="240" w:line="276" w:lineRule="auto"/>
      </w:pPr>
      <w:r w:rsidRPr="002044E3">
        <w:rPr>
          <w:b/>
          <w:bCs/>
        </w:rPr>
        <w:lastRenderedPageBreak/>
        <w:t>GPP 22.2:</w:t>
      </w:r>
      <w:r>
        <w:t xml:space="preserve"> W</w:t>
      </w:r>
      <w:r w:rsidRPr="002044E3">
        <w:t>here manufacturers’ instructions do not provide sufficient detail</w:t>
      </w:r>
      <w:r>
        <w:t xml:space="preserve"> on equipment decontamination,</w:t>
      </w:r>
      <w:r w:rsidRPr="002044E3">
        <w:t xml:space="preserve"> </w:t>
      </w:r>
      <w:r>
        <w:t>u</w:t>
      </w:r>
      <w:r w:rsidRPr="002044E3">
        <w:t xml:space="preserve">se local guidelines or contact the Infection Control Team for advice. </w:t>
      </w:r>
    </w:p>
    <w:p w14:paraId="13AA6E44" w14:textId="77777777" w:rsidR="002044E3" w:rsidRDefault="002044E3" w:rsidP="002044E3">
      <w:pPr>
        <w:spacing w:before="240" w:line="276" w:lineRule="auto"/>
      </w:pPr>
      <w:r w:rsidRPr="002044E3">
        <w:rPr>
          <w:b/>
          <w:bCs/>
        </w:rPr>
        <w:t>GPP 22.3:</w:t>
      </w:r>
      <w:r>
        <w:t xml:space="preserve"> </w:t>
      </w:r>
      <w:r w:rsidRPr="002044E3">
        <w:t xml:space="preserve">Ensure that appropriate decontamination notification/certification is addressed where equipment requires transfer for maintenance. </w:t>
      </w:r>
    </w:p>
    <w:p w14:paraId="0C54E75F" w14:textId="77777777" w:rsidR="002044E3" w:rsidRDefault="002044E3" w:rsidP="002044E3">
      <w:pPr>
        <w:spacing w:before="240" w:line="276" w:lineRule="auto"/>
      </w:pPr>
      <w:r w:rsidRPr="002044E3">
        <w:rPr>
          <w:b/>
          <w:bCs/>
        </w:rPr>
        <w:t>GPP 22.4:</w:t>
      </w:r>
      <w:r>
        <w:t xml:space="preserve"> </w:t>
      </w:r>
      <w:r w:rsidRPr="002044E3">
        <w:t>Be aware that disinfectants may cause damage to some equipment and ensure this issue is addressed in local cleaning guidelines.</w:t>
      </w:r>
    </w:p>
    <w:p w14:paraId="303CD19F" w14:textId="77777777" w:rsidR="002044E3" w:rsidRDefault="002044E3" w:rsidP="002044E3">
      <w:pPr>
        <w:spacing w:before="240" w:line="276" w:lineRule="auto"/>
      </w:pPr>
      <w:r w:rsidRPr="00F84BAC">
        <w:rPr>
          <w:b/>
          <w:bCs/>
        </w:rPr>
        <w:t>GPP 22.</w:t>
      </w:r>
      <w:r>
        <w:rPr>
          <w:b/>
          <w:bCs/>
        </w:rPr>
        <w:t>5</w:t>
      </w:r>
      <w:r w:rsidRPr="00F84BAC">
        <w:rPr>
          <w:b/>
          <w:bCs/>
        </w:rPr>
        <w:t xml:space="preserve">: </w:t>
      </w:r>
      <w:r>
        <w:t xml:space="preserve">For equipment that is not readily decontaminated, provide single-use items which can be removed easily, discarded and replaced. </w:t>
      </w:r>
    </w:p>
    <w:p w14:paraId="28429DC0" w14:textId="77777777" w:rsidR="002044E3" w:rsidRPr="00DC6740" w:rsidRDefault="002044E3" w:rsidP="002044E3">
      <w:pPr>
        <w:spacing w:before="240" w:line="276" w:lineRule="auto"/>
      </w:pPr>
      <w:r w:rsidRPr="00F84BAC">
        <w:rPr>
          <w:b/>
          <w:bCs/>
        </w:rPr>
        <w:t>GPP 22.</w:t>
      </w:r>
      <w:r>
        <w:rPr>
          <w:b/>
          <w:bCs/>
        </w:rPr>
        <w:t>6</w:t>
      </w:r>
      <w:r w:rsidRPr="00F84BAC">
        <w:rPr>
          <w:b/>
          <w:bCs/>
        </w:rPr>
        <w:t>:</w:t>
      </w:r>
      <w:r>
        <w:t xml:space="preserve"> To ensure that shared items are easily decontaminated, perform a risk assessment at the time of procurement.</w:t>
      </w:r>
    </w:p>
    <w:p w14:paraId="2E066DAA" w14:textId="77777777" w:rsidR="00FB4DA7" w:rsidRDefault="00FB4DA7" w:rsidP="008F3499">
      <w:pPr>
        <w:spacing w:before="240" w:line="276" w:lineRule="auto"/>
        <w:rPr>
          <w:b/>
          <w:bCs/>
        </w:rPr>
      </w:pPr>
    </w:p>
    <w:p w14:paraId="066D423B" w14:textId="77777777" w:rsidR="00FB4DA7" w:rsidRDefault="00FB4DA7" w:rsidP="008F3499">
      <w:pPr>
        <w:spacing w:before="240" w:line="276" w:lineRule="auto"/>
        <w:rPr>
          <w:b/>
          <w:bCs/>
        </w:rPr>
      </w:pPr>
      <w:r w:rsidRPr="00FB4DA7">
        <w:rPr>
          <w:b/>
          <w:bCs/>
        </w:rPr>
        <w:t>How should dirty laundry be handled to avoid norovirus transmission?</w:t>
      </w:r>
    </w:p>
    <w:p w14:paraId="2DC60007" w14:textId="33040644" w:rsidR="008F3499" w:rsidRPr="008F3499" w:rsidRDefault="008F3499" w:rsidP="008F3499">
      <w:pPr>
        <w:spacing w:before="240" w:line="276" w:lineRule="auto"/>
      </w:pPr>
      <w:r w:rsidRPr="008F3499">
        <w:rPr>
          <w:b/>
          <w:bCs/>
        </w:rPr>
        <w:t>23.1:</w:t>
      </w:r>
      <w:r>
        <w:t xml:space="preserve"> </w:t>
      </w:r>
      <w:r w:rsidRPr="008F3499">
        <w:t>No</w:t>
      </w:r>
      <w:r w:rsidR="00FB4DA7">
        <w:t xml:space="preserve"> recommendation</w:t>
      </w:r>
    </w:p>
    <w:p w14:paraId="1B60AAB1" w14:textId="77777777" w:rsidR="008F3499" w:rsidRPr="008F3499" w:rsidRDefault="008F3499" w:rsidP="008F3499">
      <w:pPr>
        <w:spacing w:before="240" w:line="276" w:lineRule="auto"/>
      </w:pPr>
      <w:r w:rsidRPr="008F3499">
        <w:rPr>
          <w:b/>
          <w:bCs/>
        </w:rPr>
        <w:t>GPP 23.1:</w:t>
      </w:r>
      <w:r w:rsidRPr="008F3499">
        <w:t xml:space="preserve"> Ensure that that all laundry is handled and segregated according to national guidance. </w:t>
      </w:r>
    </w:p>
    <w:p w14:paraId="5CC432FD" w14:textId="77777777" w:rsidR="00FB4DA7" w:rsidRDefault="00FB4DA7" w:rsidP="008F3499">
      <w:pPr>
        <w:spacing w:before="240" w:line="276" w:lineRule="auto"/>
        <w:rPr>
          <w:b/>
          <w:bCs/>
        </w:rPr>
      </w:pPr>
    </w:p>
    <w:p w14:paraId="0B7BF579" w14:textId="77777777" w:rsidR="00FB4DA7" w:rsidRDefault="00FB4DA7" w:rsidP="008F3499">
      <w:pPr>
        <w:spacing w:before="240" w:line="276" w:lineRule="auto"/>
        <w:rPr>
          <w:b/>
          <w:bCs/>
        </w:rPr>
      </w:pPr>
      <w:r w:rsidRPr="00FB4DA7">
        <w:rPr>
          <w:b/>
          <w:bCs/>
        </w:rPr>
        <w:t>What is the clinical and cost-effectiveness of excluding from work the staff affected by norovirus? When should these staff be allowed to return to work and how should their return be managed to ensure patient safety?</w:t>
      </w:r>
    </w:p>
    <w:p w14:paraId="6CB69BE6" w14:textId="73AB3E25" w:rsidR="008F3499" w:rsidRPr="008F3499" w:rsidRDefault="008F3499" w:rsidP="008F3499">
      <w:pPr>
        <w:spacing w:before="240" w:line="276" w:lineRule="auto"/>
      </w:pPr>
      <w:r w:rsidRPr="008F3499">
        <w:rPr>
          <w:b/>
          <w:bCs/>
        </w:rPr>
        <w:t>24.1:</w:t>
      </w:r>
      <w:r w:rsidRPr="008F3499">
        <w:t xml:space="preserve"> Consider excluding symptomatic staff with norovirus infection for a minimum of 48 hours after symptoms resolve. </w:t>
      </w:r>
    </w:p>
    <w:p w14:paraId="55C46A89" w14:textId="77777777" w:rsidR="008F3499" w:rsidRPr="008F3499" w:rsidRDefault="008F3499" w:rsidP="008F3499">
      <w:pPr>
        <w:spacing w:before="240" w:line="276" w:lineRule="auto"/>
      </w:pPr>
      <w:r w:rsidRPr="008F3499">
        <w:rPr>
          <w:b/>
          <w:bCs/>
        </w:rPr>
        <w:t>GPP 24.1:</w:t>
      </w:r>
      <w:r w:rsidRPr="008F3499">
        <w:t xml:space="preserve"> In outbreaks where staff exclusion policy is not feasible, (i.e. when it is not possible to replace skilled members of staff), conduct a local risk assessment that takes into account skills and staffing levels before allowing staff to return within 48 hours of symptomatic norovirus infection. </w:t>
      </w:r>
    </w:p>
    <w:p w14:paraId="5EF79168" w14:textId="77777777" w:rsidR="00FB4DA7" w:rsidRDefault="00FB4DA7" w:rsidP="008F3499">
      <w:pPr>
        <w:spacing w:line="276" w:lineRule="auto"/>
        <w:rPr>
          <w:b/>
          <w:bCs/>
        </w:rPr>
      </w:pPr>
    </w:p>
    <w:p w14:paraId="7003AAFE" w14:textId="77777777" w:rsidR="00FB4DA7" w:rsidRDefault="00FB4DA7" w:rsidP="008F3499">
      <w:pPr>
        <w:spacing w:line="276" w:lineRule="auto"/>
        <w:rPr>
          <w:b/>
          <w:bCs/>
        </w:rPr>
      </w:pPr>
      <w:r w:rsidRPr="00FB4DA7">
        <w:rPr>
          <w:b/>
          <w:bCs/>
        </w:rPr>
        <w:t>What approaches to the management of transfer of individuals infected with norovirus are most practical and effective at minimising the risk to others?</w:t>
      </w:r>
    </w:p>
    <w:p w14:paraId="1940CC83" w14:textId="4DC0943C" w:rsidR="008F3499" w:rsidRPr="008F3499" w:rsidRDefault="008F3499" w:rsidP="008F3499">
      <w:pPr>
        <w:spacing w:line="276" w:lineRule="auto"/>
        <w:rPr>
          <w:b/>
        </w:rPr>
      </w:pPr>
      <w:r w:rsidRPr="008F3499">
        <w:rPr>
          <w:b/>
          <w:bCs/>
        </w:rPr>
        <w:t>25.1:</w:t>
      </w:r>
      <w:r w:rsidRPr="008F3499">
        <w:t xml:space="preserve"> Avoid transfers to/from affected areas during norovirus outbreaks. This includes transfers within and between the facilities. </w:t>
      </w:r>
    </w:p>
    <w:p w14:paraId="2360CE66" w14:textId="77777777" w:rsidR="008F3499" w:rsidRPr="008F3499" w:rsidRDefault="008F3499" w:rsidP="008F3499">
      <w:pPr>
        <w:spacing w:before="240" w:line="276" w:lineRule="auto"/>
      </w:pPr>
      <w:r w:rsidRPr="008F3499">
        <w:rPr>
          <w:b/>
          <w:bCs/>
        </w:rPr>
        <w:t xml:space="preserve">GPP 25.1: </w:t>
      </w:r>
      <w:r w:rsidRPr="008F3499">
        <w:t>Use a local risk assessment to determine whether the transfer of the individual is clinically necessary</w:t>
      </w:r>
    </w:p>
    <w:p w14:paraId="53DAE02B" w14:textId="77777777" w:rsidR="008F3499" w:rsidRPr="008F3499" w:rsidRDefault="008F3499" w:rsidP="008F3499">
      <w:pPr>
        <w:spacing w:before="240" w:line="276" w:lineRule="auto"/>
      </w:pPr>
      <w:r w:rsidRPr="008F3499">
        <w:rPr>
          <w:b/>
          <w:bCs/>
        </w:rPr>
        <w:t>GPP 25.2:</w:t>
      </w:r>
      <w:r w:rsidRPr="008F3499">
        <w:t xml:space="preserve"> Where a transfer is clinically necessary, inform the receiving institution/departments that the patient is infected with norovirus, so that appropriate precautions can be taken. </w:t>
      </w:r>
    </w:p>
    <w:p w14:paraId="0ED6A58B" w14:textId="35081883" w:rsidR="008F3499" w:rsidRDefault="008F3499" w:rsidP="008F3499">
      <w:pPr>
        <w:spacing w:before="240" w:line="276" w:lineRule="auto"/>
      </w:pPr>
      <w:r w:rsidRPr="008F3499">
        <w:rPr>
          <w:b/>
          <w:bCs/>
        </w:rPr>
        <w:lastRenderedPageBreak/>
        <w:t xml:space="preserve">GPP 25.3: </w:t>
      </w:r>
      <w:r w:rsidRPr="008F3499">
        <w:t>Where transfer is necessary, and where appropriate (e.g. for urgent radiology), consider placing patients last on the list in order to minimise opportunities to transmit norovirus to others.</w:t>
      </w:r>
    </w:p>
    <w:p w14:paraId="12A13142" w14:textId="5FD0FBC2" w:rsidR="00A418D4" w:rsidRPr="008F3499" w:rsidRDefault="00A418D4" w:rsidP="008F3499">
      <w:pPr>
        <w:spacing w:before="240" w:line="276" w:lineRule="auto"/>
      </w:pPr>
      <w:r w:rsidRPr="008F3499">
        <w:rPr>
          <w:b/>
          <w:bCs/>
        </w:rPr>
        <w:t>GPP 25.</w:t>
      </w:r>
      <w:r>
        <w:rPr>
          <w:b/>
          <w:bCs/>
        </w:rPr>
        <w:t>4</w:t>
      </w:r>
      <w:r w:rsidRPr="008F3499">
        <w:rPr>
          <w:b/>
          <w:bCs/>
        </w:rPr>
        <w:t xml:space="preserve">: </w:t>
      </w:r>
      <w:r w:rsidRPr="00A418D4">
        <w:t>Ensure that appropriate cleaning takes place post transfer</w:t>
      </w:r>
      <w:r>
        <w:t>.</w:t>
      </w:r>
    </w:p>
    <w:p w14:paraId="0E90E285" w14:textId="77777777" w:rsidR="00FB4DA7" w:rsidRDefault="00FB4DA7" w:rsidP="008F3499">
      <w:pPr>
        <w:spacing w:before="240" w:line="276" w:lineRule="auto"/>
        <w:rPr>
          <w:b/>
          <w:bCs/>
        </w:rPr>
      </w:pPr>
    </w:p>
    <w:p w14:paraId="451CA418" w14:textId="77777777" w:rsidR="00FB4DA7" w:rsidRDefault="00FB4DA7" w:rsidP="008F3499">
      <w:pPr>
        <w:spacing w:before="240" w:line="276" w:lineRule="auto"/>
        <w:rPr>
          <w:b/>
          <w:bCs/>
        </w:rPr>
      </w:pPr>
      <w:r w:rsidRPr="00FB4DA7">
        <w:rPr>
          <w:b/>
          <w:bCs/>
        </w:rPr>
        <w:t>When should a patient affected by norovirus be discharged home or to another facility?</w:t>
      </w:r>
    </w:p>
    <w:p w14:paraId="3C302557" w14:textId="73F625FF" w:rsidR="008F3499" w:rsidRPr="008F3499" w:rsidRDefault="008F3499" w:rsidP="008F3499">
      <w:pPr>
        <w:spacing w:before="240" w:line="276" w:lineRule="auto"/>
      </w:pPr>
      <w:r w:rsidRPr="008F3499">
        <w:rPr>
          <w:b/>
          <w:bCs/>
        </w:rPr>
        <w:t>26.1:</w:t>
      </w:r>
      <w:r w:rsidRPr="008F3499">
        <w:t xml:space="preserve"> No recommendation</w:t>
      </w:r>
    </w:p>
    <w:p w14:paraId="3546B4B7" w14:textId="77777777" w:rsidR="008F3499" w:rsidRPr="008F3499" w:rsidRDefault="008F3499" w:rsidP="008F3499">
      <w:pPr>
        <w:spacing w:line="276" w:lineRule="auto"/>
      </w:pPr>
      <w:r w:rsidRPr="008F3499">
        <w:rPr>
          <w:b/>
          <w:bCs/>
        </w:rPr>
        <w:t>GPP 26.1:</w:t>
      </w:r>
      <w:r w:rsidRPr="008F3499">
        <w:t xml:space="preserve"> Unless the individual risk assessment dictates otherwise, avoid discharging individuals with known or suspected norovirus infection to other to another facility until 48 hours have elapsed since the last episode of diarrhoea or vomiting</w:t>
      </w:r>
    </w:p>
    <w:p w14:paraId="748F9377" w14:textId="77777777" w:rsidR="008F3499" w:rsidRPr="008F3499" w:rsidRDefault="008F3499" w:rsidP="008F3499">
      <w:pPr>
        <w:spacing w:line="276" w:lineRule="auto"/>
      </w:pPr>
      <w:r w:rsidRPr="008F3499">
        <w:rPr>
          <w:b/>
          <w:bCs/>
        </w:rPr>
        <w:t>GPP 26.2:</w:t>
      </w:r>
      <w:r w:rsidRPr="008F3499">
        <w:t xml:space="preserve"> If the patient with norovirus infection is discharged to another facility sooner than 48 hours after symptoms cease, inform the receiving facilities so that appropriate arrangements can be made. </w:t>
      </w:r>
    </w:p>
    <w:p w14:paraId="431924E8" w14:textId="5467AF21" w:rsidR="008F3499" w:rsidRPr="008F3499" w:rsidRDefault="008F3499" w:rsidP="008F3499">
      <w:pPr>
        <w:spacing w:line="276" w:lineRule="auto"/>
      </w:pPr>
      <w:r w:rsidRPr="008F3499">
        <w:rPr>
          <w:b/>
          <w:bCs/>
        </w:rPr>
        <w:t>GPP 26.3:</w:t>
      </w:r>
      <w:r w:rsidRPr="008F3499">
        <w:t xml:space="preserve"> If receiving discharged patients with confirmed or suspected norovirus infection from other facilities, ensure that appropriate arrangements are in place so that norovirus is not transmitted to others (e.g. isolation is recommended for at least 24 hours for asymptomatic/suspected patients and 48 h</w:t>
      </w:r>
      <w:r w:rsidR="001128A6">
        <w:t>ours</w:t>
      </w:r>
      <w:r w:rsidRPr="008F3499">
        <w:t xml:space="preserve"> after the symptoms have resolved for infected/confirmed patients)</w:t>
      </w:r>
    </w:p>
    <w:p w14:paraId="23E94106" w14:textId="77777777" w:rsidR="00FB4DA7" w:rsidRDefault="00FB4DA7" w:rsidP="008F3499">
      <w:pPr>
        <w:spacing w:before="240" w:line="276" w:lineRule="auto"/>
        <w:rPr>
          <w:b/>
          <w:bCs/>
        </w:rPr>
      </w:pPr>
    </w:p>
    <w:p w14:paraId="03FE8F45" w14:textId="77777777" w:rsidR="00FB4DA7" w:rsidRDefault="00FB4DA7" w:rsidP="008F3499">
      <w:pPr>
        <w:spacing w:before="240" w:line="276" w:lineRule="auto"/>
        <w:rPr>
          <w:b/>
          <w:bCs/>
        </w:rPr>
      </w:pPr>
      <w:r w:rsidRPr="00FB4DA7">
        <w:rPr>
          <w:b/>
          <w:bCs/>
        </w:rPr>
        <w:t>What is the clinical effectiveness of different medications given to alleviate the symptoms of norovirus infection?</w:t>
      </w:r>
    </w:p>
    <w:p w14:paraId="2EFB7233" w14:textId="1E6AD874" w:rsidR="008F3499" w:rsidRPr="008F3499" w:rsidRDefault="008F3499" w:rsidP="008F3499">
      <w:pPr>
        <w:spacing w:before="240" w:line="276" w:lineRule="auto"/>
      </w:pPr>
      <w:r w:rsidRPr="008F3499">
        <w:rPr>
          <w:b/>
          <w:bCs/>
        </w:rPr>
        <w:t>27.1:</w:t>
      </w:r>
      <w:r w:rsidRPr="008F3499">
        <w:t xml:space="preserve"> No recommendation</w:t>
      </w:r>
    </w:p>
    <w:p w14:paraId="1027D7B6" w14:textId="77777777" w:rsidR="008F3499" w:rsidRPr="008F3499" w:rsidRDefault="008F3499" w:rsidP="008F3499">
      <w:pPr>
        <w:spacing w:before="240" w:line="276" w:lineRule="auto"/>
      </w:pPr>
      <w:r w:rsidRPr="008F3499">
        <w:rPr>
          <w:b/>
          <w:bCs/>
        </w:rPr>
        <w:t>GPP 27.1:</w:t>
      </w:r>
      <w:r w:rsidRPr="008F3499">
        <w:t xml:space="preserve"> Consider appropriate treatment for secondary conditions as appropriate (e.g. rehydration therapy for individuals at risk of dehydration). </w:t>
      </w:r>
    </w:p>
    <w:p w14:paraId="202E7D86" w14:textId="77777777" w:rsidR="00FB4DA7" w:rsidRDefault="00FB4DA7" w:rsidP="008F3499">
      <w:pPr>
        <w:spacing w:before="240" w:line="276" w:lineRule="auto"/>
        <w:rPr>
          <w:b/>
          <w:bCs/>
        </w:rPr>
      </w:pPr>
    </w:p>
    <w:p w14:paraId="3A7A5000" w14:textId="77777777" w:rsidR="00FB4DA7" w:rsidRDefault="00FB4DA7" w:rsidP="008F3499">
      <w:pPr>
        <w:spacing w:before="240" w:line="276" w:lineRule="auto"/>
        <w:rPr>
          <w:b/>
          <w:bCs/>
        </w:rPr>
      </w:pPr>
      <w:r w:rsidRPr="00FB4DA7">
        <w:rPr>
          <w:b/>
          <w:bCs/>
        </w:rPr>
        <w:t>What are the best strategies for preventing and managing norovirus infection in immunocompromised patients? How should patients with chronic norovirus excretion be managed?</w:t>
      </w:r>
    </w:p>
    <w:p w14:paraId="2BDAA248" w14:textId="069FC5F7" w:rsidR="008F3499" w:rsidRPr="008F3499" w:rsidRDefault="008F3499" w:rsidP="008F3499">
      <w:pPr>
        <w:spacing w:before="240" w:line="276" w:lineRule="auto"/>
      </w:pPr>
      <w:r w:rsidRPr="008F3499">
        <w:rPr>
          <w:b/>
          <w:bCs/>
        </w:rPr>
        <w:t>28.1:</w:t>
      </w:r>
      <w:r w:rsidRPr="008F3499">
        <w:t xml:space="preserve"> No recommendation</w:t>
      </w:r>
    </w:p>
    <w:p w14:paraId="3C4C641E" w14:textId="77777777" w:rsidR="00FB4DA7" w:rsidRDefault="00FB4DA7" w:rsidP="008F3499">
      <w:pPr>
        <w:spacing w:line="276" w:lineRule="auto"/>
        <w:rPr>
          <w:b/>
          <w:bCs/>
        </w:rPr>
      </w:pPr>
    </w:p>
    <w:p w14:paraId="75E6C1F7" w14:textId="77777777" w:rsidR="00FB4DA7" w:rsidRDefault="00FB4DA7" w:rsidP="008F3499">
      <w:pPr>
        <w:spacing w:line="276" w:lineRule="auto"/>
        <w:rPr>
          <w:b/>
          <w:bCs/>
        </w:rPr>
      </w:pPr>
      <w:r w:rsidRPr="00FB4DA7">
        <w:rPr>
          <w:b/>
          <w:bCs/>
        </w:rPr>
        <w:t>What is the clinical effectiveness of conducting norovirus surveillance in different settings?</w:t>
      </w:r>
    </w:p>
    <w:p w14:paraId="4BB5F191" w14:textId="494BA431" w:rsidR="008F3499" w:rsidRPr="008F3499" w:rsidRDefault="008F3499" w:rsidP="008F3499">
      <w:pPr>
        <w:spacing w:line="276" w:lineRule="auto"/>
      </w:pPr>
      <w:r w:rsidRPr="008F3499">
        <w:rPr>
          <w:b/>
          <w:bCs/>
        </w:rPr>
        <w:t>29.1:</w:t>
      </w:r>
      <w:r w:rsidRPr="008F3499">
        <w:t xml:space="preserve"> Introduce surveillance for symptoms/cases during an outbreak of norovirus infection.</w:t>
      </w:r>
    </w:p>
    <w:p w14:paraId="2EC29BDB" w14:textId="77777777" w:rsidR="008F3499" w:rsidRPr="008F3499" w:rsidRDefault="008F3499" w:rsidP="008F3499">
      <w:pPr>
        <w:spacing w:before="240" w:line="276" w:lineRule="auto"/>
      </w:pPr>
      <w:r w:rsidRPr="008F3499">
        <w:rPr>
          <w:b/>
          <w:bCs/>
        </w:rPr>
        <w:lastRenderedPageBreak/>
        <w:t>GPP 29.1:</w:t>
      </w:r>
      <w:r w:rsidRPr="008F3499">
        <w:t xml:space="preserve"> If initiating surveillance for norovirus is considered outside outbreaks, ensure that appropriate resources are available to put in place.</w:t>
      </w:r>
    </w:p>
    <w:p w14:paraId="7AE1F0E1" w14:textId="7E1E1472" w:rsidR="008F3499" w:rsidRDefault="008F3499" w:rsidP="008F3499">
      <w:pPr>
        <w:spacing w:before="240" w:line="276" w:lineRule="auto"/>
      </w:pPr>
      <w:r w:rsidRPr="008F3499">
        <w:rPr>
          <w:b/>
          <w:bCs/>
        </w:rPr>
        <w:t>GPP 29.2:</w:t>
      </w:r>
      <w:r w:rsidRPr="008F3499">
        <w:t xml:space="preserve"> Participate in national surveillance programmes for norovirus outbreaks.</w:t>
      </w:r>
    </w:p>
    <w:p w14:paraId="1872F5C1" w14:textId="77777777" w:rsidR="00556D11" w:rsidRDefault="00556D11" w:rsidP="008F3499">
      <w:pPr>
        <w:spacing w:before="240" w:line="276" w:lineRule="auto"/>
        <w:rPr>
          <w:b/>
          <w:bCs/>
        </w:rPr>
      </w:pPr>
    </w:p>
    <w:p w14:paraId="63034EFA" w14:textId="62EC25CC" w:rsidR="00556D11" w:rsidRPr="00556D11" w:rsidRDefault="00556D11" w:rsidP="008F3499">
      <w:pPr>
        <w:spacing w:before="240" w:line="276" w:lineRule="auto"/>
        <w:rPr>
          <w:b/>
          <w:bCs/>
        </w:rPr>
      </w:pPr>
      <w:r w:rsidRPr="00556D11">
        <w:rPr>
          <w:b/>
          <w:bCs/>
        </w:rPr>
        <w:t xml:space="preserve">Overarching recommendations </w:t>
      </w:r>
    </w:p>
    <w:p w14:paraId="1AB8C77D" w14:textId="77777777" w:rsidR="00556D11" w:rsidRPr="00556D11" w:rsidRDefault="00556D11" w:rsidP="00556D11">
      <w:pPr>
        <w:spacing w:before="240" w:line="276" w:lineRule="auto"/>
        <w:rPr>
          <w:b/>
          <w:bCs/>
        </w:rPr>
      </w:pPr>
      <w:r w:rsidRPr="00556D11">
        <w:rPr>
          <w:b/>
          <w:bCs/>
        </w:rPr>
        <w:t xml:space="preserve">OR 1: </w:t>
      </w:r>
      <w:r w:rsidRPr="00556D11">
        <w:t>During norovirus outbreaks, undertake continuous risk assessment to establish which good practice points need to be introduce</w:t>
      </w:r>
      <w:r>
        <w:t>d</w:t>
      </w:r>
      <w:r w:rsidRPr="00556D11">
        <w:t xml:space="preserve"> to minimise transmission.</w:t>
      </w:r>
      <w:r w:rsidRPr="00556D11">
        <w:rPr>
          <w:b/>
          <w:bCs/>
        </w:rPr>
        <w:t xml:space="preserve"> </w:t>
      </w:r>
    </w:p>
    <w:p w14:paraId="3DC9B47E" w14:textId="77777777" w:rsidR="00556D11" w:rsidRPr="00A643A9" w:rsidRDefault="00556D11" w:rsidP="00556D11">
      <w:pPr>
        <w:spacing w:before="240" w:line="276" w:lineRule="auto"/>
        <w:rPr>
          <w:b/>
          <w:bCs/>
        </w:rPr>
      </w:pPr>
      <w:r w:rsidRPr="00556D11">
        <w:rPr>
          <w:b/>
          <w:bCs/>
        </w:rPr>
        <w:t xml:space="preserve">OR 2: </w:t>
      </w:r>
      <w:r w:rsidRPr="00556D11">
        <w:t>Provide staff with sufficient information and training so that they are able to recognise and quickly act when norovirus outbreak occurs.</w:t>
      </w:r>
      <w:r w:rsidRPr="00A643A9">
        <w:t xml:space="preserve"> </w:t>
      </w:r>
    </w:p>
    <w:p w14:paraId="55D18A12" w14:textId="77777777" w:rsidR="00FB4DA7" w:rsidRPr="008F3499" w:rsidRDefault="00FB4DA7" w:rsidP="008F3499">
      <w:pPr>
        <w:spacing w:before="240" w:line="276" w:lineRule="auto"/>
      </w:pPr>
    </w:p>
    <w:p w14:paraId="28CA0842" w14:textId="2381DB13" w:rsidR="002301F0" w:rsidRPr="00555B31" w:rsidRDefault="00834A73" w:rsidP="008F3499">
      <w:pPr>
        <w:pStyle w:val="Heading1"/>
        <w:numPr>
          <w:ilvl w:val="0"/>
          <w:numId w:val="27"/>
        </w:numPr>
        <w:spacing w:after="160" w:line="276" w:lineRule="auto"/>
      </w:pPr>
      <w:r>
        <w:t>Plain English</w:t>
      </w:r>
      <w:r w:rsidR="002301F0" w:rsidRPr="00555B31">
        <w:t xml:space="preserve"> summary</w:t>
      </w:r>
    </w:p>
    <w:p w14:paraId="3A177576" w14:textId="6BF29132" w:rsidR="002936AF" w:rsidRPr="00E5602C" w:rsidRDefault="00BF19CD" w:rsidP="00CF7116">
      <w:pPr>
        <w:spacing w:before="240" w:line="276" w:lineRule="auto"/>
        <w:jc w:val="both"/>
      </w:pPr>
      <w:bookmarkStart w:id="2" w:name="_Hlk113024540"/>
      <w:r w:rsidRPr="00BF19CD">
        <w:t xml:space="preserve">Norovirus remains the most common gastrointestinal disease. Epidemics in </w:t>
      </w:r>
      <w:r>
        <w:t>hospitals and other</w:t>
      </w:r>
      <w:r w:rsidRPr="00BF19CD">
        <w:t xml:space="preserve"> settings are still being reported, and they are approximately calculated to cost the UK NHS £100 million every year. Previous UK Guidelines were published over</w:t>
      </w:r>
      <w:r w:rsidR="001128A6">
        <w:t xml:space="preserve"> ten </w:t>
      </w:r>
      <w:r w:rsidRPr="00BF19CD">
        <w:t>years ago</w:t>
      </w:r>
      <w:r w:rsidR="00AC0F9C" w:rsidRPr="00AC0F9C">
        <w:rPr>
          <w:vertAlign w:val="superscript"/>
        </w:rPr>
        <w:t>1</w:t>
      </w:r>
      <w:r w:rsidRPr="00BF19CD">
        <w:t xml:space="preserve"> and new knowledge and technologies have since appeared. These updated guidelines</w:t>
      </w:r>
      <w:r w:rsidR="008F3499">
        <w:t xml:space="preserve">, which are now </w:t>
      </w:r>
      <w:r w:rsidR="00E2003E" w:rsidRPr="00E2003E">
        <w:t xml:space="preserve">National Institute for Health and Care Excellence </w:t>
      </w:r>
      <w:r w:rsidR="00E2003E">
        <w:t>(</w:t>
      </w:r>
      <w:r w:rsidR="008F3499">
        <w:t>NICE</w:t>
      </w:r>
      <w:r w:rsidR="00E2003E">
        <w:t xml:space="preserve">) </w:t>
      </w:r>
      <w:r w:rsidR="008F3499">
        <w:t>accredited,</w:t>
      </w:r>
      <w:r w:rsidRPr="00BF19CD">
        <w:t xml:space="preserve"> focus on IPC principles</w:t>
      </w:r>
      <w:r w:rsidR="00E2003E">
        <w:t xml:space="preserve"> that</w:t>
      </w:r>
      <w:r w:rsidRPr="00BF19CD">
        <w:t xml:space="preserve"> aim to reduce </w:t>
      </w:r>
      <w:r>
        <w:t>n</w:t>
      </w:r>
      <w:r w:rsidRPr="00BF19CD">
        <w:t xml:space="preserve">orovirus burden in healthcare settings, while maintaining essential services and minimising disruptions during the outbreaks. The guidelines discuss the current available evidence to prevent </w:t>
      </w:r>
      <w:r>
        <w:t xml:space="preserve">and control </w:t>
      </w:r>
      <w:r w:rsidRPr="00BF19CD">
        <w:t xml:space="preserve">outbreaks, and </w:t>
      </w:r>
      <w:r>
        <w:t>how</w:t>
      </w:r>
      <w:r w:rsidRPr="00BF19CD">
        <w:t xml:space="preserve"> infected people</w:t>
      </w:r>
      <w:r>
        <w:t xml:space="preserve"> need to be managed</w:t>
      </w:r>
      <w:r w:rsidRPr="00BF19CD">
        <w:t xml:space="preserve">. </w:t>
      </w:r>
      <w:r w:rsidR="00342D21">
        <w:t xml:space="preserve">Glossary is available in Supplementary Materials file A. </w:t>
      </w:r>
    </w:p>
    <w:bookmarkEnd w:id="2"/>
    <w:p w14:paraId="3101F241" w14:textId="0D7321DA" w:rsidR="002936AF" w:rsidRPr="00555B31" w:rsidRDefault="002936AF" w:rsidP="00CF7116">
      <w:pPr>
        <w:pStyle w:val="Heading1"/>
        <w:numPr>
          <w:ilvl w:val="0"/>
          <w:numId w:val="27"/>
        </w:numPr>
        <w:spacing w:after="160" w:line="276" w:lineRule="auto"/>
      </w:pPr>
      <w:r w:rsidRPr="00555B31">
        <w:t>Introduction</w:t>
      </w:r>
    </w:p>
    <w:p w14:paraId="4AE6A229" w14:textId="4021CE2D" w:rsidR="00404C72" w:rsidRDefault="00404C72" w:rsidP="00CF7116">
      <w:pPr>
        <w:spacing w:before="240" w:line="276" w:lineRule="auto"/>
      </w:pPr>
      <w:r>
        <w:t xml:space="preserve">Noroviruses are an important and increasingly recognised cause of acute gastroenteritis in human populations worldwide. A genus within the </w:t>
      </w:r>
      <w:proofErr w:type="spellStart"/>
      <w:r>
        <w:t>Caliciviridae</w:t>
      </w:r>
      <w:proofErr w:type="spellEnd"/>
      <w:r>
        <w:t xml:space="preserve"> family, noroviruses represent a genetically diverse group of single-stranded RNA viruses.</w:t>
      </w:r>
      <w:r w:rsidR="000E41A6">
        <w:t xml:space="preserve"> </w:t>
      </w:r>
      <w:r>
        <w:t>Norwalk virus</w:t>
      </w:r>
      <w:r w:rsidR="00E2003E">
        <w:t xml:space="preserve"> (NLV)</w:t>
      </w:r>
      <w:r>
        <w:t>, the prototype norovirus was first identified following an outbreak of gastroenteritis at a primary school in Norwalk, Ohio, USA in 1972.</w:t>
      </w:r>
      <w:r w:rsidR="00AC0F9C" w:rsidRPr="00AC0F9C">
        <w:rPr>
          <w:vertAlign w:val="superscript"/>
        </w:rPr>
        <w:t>2</w:t>
      </w:r>
      <w:r>
        <w:t xml:space="preserve"> Noroviruses affect all age groups and are recognised to cause both outbreak-associated gastroenteritis which typically occurs in semi-enclosed settings and may </w:t>
      </w:r>
      <w:r w:rsidR="001E450D">
        <w:t xml:space="preserve">also </w:t>
      </w:r>
      <w:r>
        <w:t xml:space="preserve">be healthcare </w:t>
      </w:r>
      <w:r w:rsidR="001E450D">
        <w:t xml:space="preserve">associated </w:t>
      </w:r>
      <w:r>
        <w:t xml:space="preserve">e.g., on a hospital ward, or non-healthcare associated e.g., </w:t>
      </w:r>
      <w:r w:rsidR="001E450D">
        <w:t xml:space="preserve">on a </w:t>
      </w:r>
      <w:r>
        <w:t>cruise ship; as well as causing sporadic cases of gastroenteritis</w:t>
      </w:r>
      <w:r w:rsidR="001E450D">
        <w:t>,</w:t>
      </w:r>
      <w:r>
        <w:t xml:space="preserve"> in the general community.</w:t>
      </w:r>
      <w:r w:rsidR="000E41A6">
        <w:t xml:space="preserve"> </w:t>
      </w:r>
      <w:r>
        <w:t xml:space="preserve">Noroviruses are classified using genetic analysis due to </w:t>
      </w:r>
      <w:r w:rsidR="001E450D">
        <w:t xml:space="preserve">the </w:t>
      </w:r>
      <w:r>
        <w:t>lack of a robust culture system and are divided into ten distinct genogroups (GI-GX), with genogroups GI, GII and GIV most implicated as causing gastroenteritis in humans.</w:t>
      </w:r>
      <w:r w:rsidR="00AC0F9C" w:rsidRPr="00AC0F9C">
        <w:rPr>
          <w:vertAlign w:val="superscript"/>
        </w:rPr>
        <w:t>3</w:t>
      </w:r>
      <w:r w:rsidR="000E41A6">
        <w:t xml:space="preserve"> </w:t>
      </w:r>
      <w:r>
        <w:t>Genogroups are further divided into genotypes and variants (subtypes) based on genomic sequence diversity. The majority of newly emerging outbreak associated variants belong to genogroup II genotype 4 (GII.4) noroviruses.</w:t>
      </w:r>
      <w:r w:rsidR="00AC0F9C" w:rsidRPr="00AC0F9C">
        <w:rPr>
          <w:vertAlign w:val="superscript"/>
        </w:rPr>
        <w:t>4</w:t>
      </w:r>
      <w:r>
        <w:t xml:space="preserve"> These variants are typically named using the geographic location where the strain was first isolated and the year in which they were detected e.g., GII.4 Sydney 2012. </w:t>
      </w:r>
    </w:p>
    <w:p w14:paraId="0CE7D0A5" w14:textId="682F7201" w:rsidR="00404C72" w:rsidRDefault="00404C72" w:rsidP="00CF7116">
      <w:pPr>
        <w:spacing w:before="240" w:line="276" w:lineRule="auto"/>
      </w:pPr>
      <w:r>
        <w:lastRenderedPageBreak/>
        <w:t>Human to human transmission occurs via the faecal/ vomitus oral route, with contaminated fomites, food and water playing important roles. Following an average incubation period of 24 hours, acute onset gastroenteritis with vomiting and/or non-bloody diarrhoea typically lasts 24-48 hours,</w:t>
      </w:r>
      <w:r w:rsidR="00AC0F9C">
        <w:rPr>
          <w:vertAlign w:val="superscript"/>
        </w:rPr>
        <w:t>5</w:t>
      </w:r>
      <w:r>
        <w:t xml:space="preserve"> but illness may be more prolonged and severe in young infants and hospitalised patients.</w:t>
      </w:r>
      <w:r w:rsidR="00AC0F9C" w:rsidRPr="00AC0F9C">
        <w:rPr>
          <w:vertAlign w:val="superscript"/>
        </w:rPr>
        <w:t>6</w:t>
      </w:r>
      <w:r>
        <w:t xml:space="preserve"> Healthcare- associated infection typically occurs in semi-enclosed settings that allow for rapid transmission including hospital wards, nursing/residential homes, and day-care centres. Immunity following norovirus infection is short-lived, and there are currently no effective licensed vaccines. There are no effective medical treatments other than supportive care with oral or intravenous rehydration, replacement of lost electrolytes and nutrition.</w:t>
      </w:r>
      <w:r w:rsidR="000E41A6">
        <w:t xml:space="preserve"> </w:t>
      </w:r>
    </w:p>
    <w:p w14:paraId="55F7538E" w14:textId="144E3AB7" w:rsidR="00404C72" w:rsidRPr="00B0545F" w:rsidRDefault="00404C72" w:rsidP="00CF7116">
      <w:pPr>
        <w:spacing w:before="240" w:line="276" w:lineRule="auto"/>
      </w:pPr>
      <w:r>
        <w:t>The incidence of norovirus in the UK has been estimated at three million cases annually,</w:t>
      </w:r>
      <w:r w:rsidR="00AC0F9C" w:rsidRPr="00AC0F9C">
        <w:rPr>
          <w:vertAlign w:val="superscript"/>
        </w:rPr>
        <w:t>7</w:t>
      </w:r>
      <w:r>
        <w:t xml:space="preserve"> and the impact and control of norovirus gastroenteritis is associated with significant costs to global healthcare systems. Annually direct costs to the NHS in England from norovirus have been estimated at £107.6 million pounds.</w:t>
      </w:r>
      <w:r w:rsidR="00AC0F9C" w:rsidRPr="00AC0F9C">
        <w:rPr>
          <w:vertAlign w:val="superscript"/>
        </w:rPr>
        <w:t>8</w:t>
      </w:r>
      <w:r>
        <w:t xml:space="preserve"> This document provides an update to the previous guidelines</w:t>
      </w:r>
      <w:r w:rsidR="00AC0F9C" w:rsidRPr="00AC0F9C">
        <w:rPr>
          <w:vertAlign w:val="superscript"/>
        </w:rPr>
        <w:t>1</w:t>
      </w:r>
      <w:r>
        <w:t xml:space="preserve"> published in 2012 for the management of norovirus outbreaks in acute and community health and social care settings.</w:t>
      </w:r>
    </w:p>
    <w:p w14:paraId="6DD98D26" w14:textId="489C964F" w:rsidR="00AF08D5" w:rsidRPr="00555B31" w:rsidRDefault="00AF08D5" w:rsidP="00CF7116">
      <w:pPr>
        <w:pStyle w:val="Heading1"/>
        <w:numPr>
          <w:ilvl w:val="0"/>
          <w:numId w:val="27"/>
        </w:numPr>
        <w:spacing w:after="160" w:line="276" w:lineRule="auto"/>
      </w:pPr>
      <w:r w:rsidRPr="00555B31">
        <w:t>Gui</w:t>
      </w:r>
      <w:r w:rsidR="0023406F">
        <w:t>deline</w:t>
      </w:r>
      <w:r w:rsidRPr="00555B31">
        <w:t xml:space="preserve"> Development Team</w:t>
      </w:r>
    </w:p>
    <w:p w14:paraId="4E08E217" w14:textId="4BFA3E7B" w:rsidR="00AF08D5" w:rsidRPr="00555B31" w:rsidRDefault="004D288B" w:rsidP="00CF7116">
      <w:pPr>
        <w:pStyle w:val="Heading2"/>
        <w:spacing w:before="240" w:after="160" w:line="276" w:lineRule="auto"/>
      </w:pPr>
      <w:r>
        <w:t xml:space="preserve">4.1 </w:t>
      </w:r>
      <w:r w:rsidR="00AF08D5" w:rsidRPr="00555B31">
        <w:t>Acknowledgements</w:t>
      </w:r>
    </w:p>
    <w:p w14:paraId="4E185274" w14:textId="28889507" w:rsidR="00565540" w:rsidRPr="00AC0F9C" w:rsidRDefault="00B0545F" w:rsidP="00CF7116">
      <w:pPr>
        <w:spacing w:before="240" w:line="276" w:lineRule="auto"/>
        <w:jc w:val="both"/>
        <w:rPr>
          <w:color w:val="000000" w:themeColor="text1"/>
        </w:rPr>
      </w:pPr>
      <w:r w:rsidRPr="00B0545F">
        <w:rPr>
          <w:color w:val="000000" w:themeColor="text1"/>
        </w:rPr>
        <w:t xml:space="preserve">Members of the </w:t>
      </w:r>
      <w:r w:rsidR="00A004DA">
        <w:rPr>
          <w:color w:val="000000" w:themeColor="text1"/>
        </w:rPr>
        <w:t>W</w:t>
      </w:r>
      <w:r w:rsidRPr="00B0545F">
        <w:rPr>
          <w:color w:val="000000" w:themeColor="text1"/>
        </w:rPr>
        <w:t xml:space="preserve">orking </w:t>
      </w:r>
      <w:r w:rsidR="00A004DA">
        <w:rPr>
          <w:color w:val="000000" w:themeColor="text1"/>
        </w:rPr>
        <w:t>Party</w:t>
      </w:r>
      <w:r w:rsidRPr="00B0545F">
        <w:rPr>
          <w:color w:val="000000" w:themeColor="text1"/>
        </w:rPr>
        <w:t xml:space="preserve"> represent UK professional societies i.e. Healthcare Infection Society (HIS), Infection Prevention Society (IPS), </w:t>
      </w:r>
      <w:r w:rsidR="00803C9C">
        <w:rPr>
          <w:color w:val="000000" w:themeColor="text1"/>
        </w:rPr>
        <w:t>and British Infection Association (BIA)</w:t>
      </w:r>
      <w:r w:rsidRPr="00B0545F">
        <w:rPr>
          <w:color w:val="000000" w:themeColor="text1"/>
        </w:rPr>
        <w:t>.</w:t>
      </w:r>
      <w:r w:rsidR="00834A73">
        <w:rPr>
          <w:color w:val="000000" w:themeColor="text1"/>
        </w:rPr>
        <w:t xml:space="preserve"> </w:t>
      </w:r>
      <w:r w:rsidR="002D312E" w:rsidRPr="00B0545F">
        <w:t xml:space="preserve">The authors would like to acknowledge the support </w:t>
      </w:r>
      <w:r w:rsidR="000B3661" w:rsidRPr="00B0545F">
        <w:t>from their employing institutions, which allowed time required for producing th</w:t>
      </w:r>
      <w:r w:rsidR="0023406F">
        <w:t>ese guidelines</w:t>
      </w:r>
      <w:r w:rsidR="005556A8" w:rsidRPr="00B0545F">
        <w:t>.</w:t>
      </w:r>
      <w:r w:rsidR="00FB2632" w:rsidRPr="00B0545F">
        <w:t xml:space="preserve"> </w:t>
      </w:r>
    </w:p>
    <w:p w14:paraId="16201A83" w14:textId="7BA1AF16" w:rsidR="00AF08D5" w:rsidRPr="00555B31" w:rsidRDefault="004D288B" w:rsidP="00CF7116">
      <w:pPr>
        <w:pStyle w:val="Heading2"/>
        <w:spacing w:before="240" w:after="160" w:line="276" w:lineRule="auto"/>
      </w:pPr>
      <w:r>
        <w:t xml:space="preserve">4.2 </w:t>
      </w:r>
      <w:r w:rsidR="00AF08D5" w:rsidRPr="00555B31">
        <w:t xml:space="preserve">Source of funding </w:t>
      </w:r>
    </w:p>
    <w:p w14:paraId="3E05E3FD" w14:textId="4233AA19" w:rsidR="00AF08D5" w:rsidRPr="00AA38BF" w:rsidRDefault="00363109" w:rsidP="00CF7116">
      <w:pPr>
        <w:spacing w:before="240" w:line="276" w:lineRule="auto"/>
        <w:jc w:val="both"/>
        <w:rPr>
          <w:color w:val="000000" w:themeColor="text1"/>
        </w:rPr>
      </w:pPr>
      <w:r w:rsidRPr="00363109">
        <w:rPr>
          <w:color w:val="000000" w:themeColor="text1"/>
        </w:rPr>
        <w:t>The authors received no specific funding for this work</w:t>
      </w:r>
      <w:r>
        <w:rPr>
          <w:color w:val="000000" w:themeColor="text1"/>
        </w:rPr>
        <w:t xml:space="preserve">. </w:t>
      </w:r>
      <w:r w:rsidRPr="00363109">
        <w:rPr>
          <w:color w:val="000000" w:themeColor="text1"/>
        </w:rPr>
        <w:t xml:space="preserve">Financial support for </w:t>
      </w:r>
      <w:r>
        <w:rPr>
          <w:color w:val="000000" w:themeColor="text1"/>
        </w:rPr>
        <w:t xml:space="preserve">time required to obtain the evidence and write the manuscript was provided by the authors’ respective employing institutions. </w:t>
      </w:r>
    </w:p>
    <w:p w14:paraId="03084911" w14:textId="30AA0C91" w:rsidR="00AF08D5" w:rsidRPr="00555B31" w:rsidRDefault="004D288B" w:rsidP="00CF7116">
      <w:pPr>
        <w:pStyle w:val="Heading2"/>
        <w:spacing w:before="240" w:after="160" w:line="276" w:lineRule="auto"/>
      </w:pPr>
      <w:r>
        <w:t xml:space="preserve">4.3 </w:t>
      </w:r>
      <w:r w:rsidR="00AF08D5" w:rsidRPr="00555B31">
        <w:t>Disclosure of potential conflict of interest</w:t>
      </w:r>
    </w:p>
    <w:p w14:paraId="16A2AA36" w14:textId="40454CA8" w:rsidR="00B83FB8" w:rsidRPr="00803C9C" w:rsidRDefault="00B0545F" w:rsidP="00CF7116">
      <w:pPr>
        <w:spacing w:before="240" w:line="276" w:lineRule="auto"/>
        <w:jc w:val="both"/>
        <w:rPr>
          <w:rFonts w:ascii="Calibri" w:hAnsi="Calibri"/>
        </w:rPr>
      </w:pPr>
      <w:r w:rsidRPr="00803C9C">
        <w:rPr>
          <w:rFonts w:ascii="Calibri" w:hAnsi="Calibri"/>
        </w:rPr>
        <w:t xml:space="preserve">All conflicts of interest are disclosed in Supplementary </w:t>
      </w:r>
      <w:r w:rsidR="00786DA8" w:rsidRPr="00803C9C">
        <w:rPr>
          <w:rFonts w:ascii="Calibri" w:hAnsi="Calibri"/>
        </w:rPr>
        <w:t>M</w:t>
      </w:r>
      <w:r w:rsidRPr="00803C9C">
        <w:rPr>
          <w:rFonts w:ascii="Calibri" w:hAnsi="Calibri"/>
        </w:rPr>
        <w:t>aterials file B</w:t>
      </w:r>
      <w:r w:rsidR="00786DA8" w:rsidRPr="00803C9C">
        <w:rPr>
          <w:rFonts w:ascii="Calibri" w:hAnsi="Calibri"/>
        </w:rPr>
        <w:t xml:space="preserve">. </w:t>
      </w:r>
    </w:p>
    <w:p w14:paraId="7968A0F2" w14:textId="1481B718" w:rsidR="00F15A3A" w:rsidRPr="00555B31" w:rsidRDefault="004D288B" w:rsidP="00CF7116">
      <w:pPr>
        <w:pStyle w:val="Heading2"/>
        <w:spacing w:before="240" w:after="160" w:line="276" w:lineRule="auto"/>
      </w:pPr>
      <w:r>
        <w:t xml:space="preserve">4.4 </w:t>
      </w:r>
      <w:r w:rsidR="00F15A3A" w:rsidRPr="00555B31">
        <w:t>Relationship of authors with sponsor</w:t>
      </w:r>
    </w:p>
    <w:p w14:paraId="3CE1A9D2" w14:textId="5F330C8F" w:rsidR="00F15A3A" w:rsidRPr="008C3140" w:rsidRDefault="00B0545F" w:rsidP="00CF7116">
      <w:pPr>
        <w:spacing w:before="240" w:line="276" w:lineRule="auto"/>
        <w:jc w:val="both"/>
        <w:rPr>
          <w:rFonts w:ascii="Calibri" w:hAnsi="Calibri"/>
          <w:color w:val="000000" w:themeColor="text1"/>
        </w:rPr>
      </w:pPr>
      <w:r>
        <w:rPr>
          <w:rFonts w:ascii="Calibri" w:hAnsi="Calibri"/>
          <w:color w:val="000000" w:themeColor="text1"/>
        </w:rPr>
        <w:t>HIS</w:t>
      </w:r>
      <w:r w:rsidR="00363109">
        <w:rPr>
          <w:rFonts w:ascii="Calibri" w:hAnsi="Calibri"/>
          <w:color w:val="000000" w:themeColor="text1"/>
        </w:rPr>
        <w:t xml:space="preserve"> </w:t>
      </w:r>
      <w:r w:rsidR="00F15A3A" w:rsidRPr="008C3140">
        <w:rPr>
          <w:rFonts w:ascii="Calibri" w:hAnsi="Calibri"/>
          <w:color w:val="000000" w:themeColor="text1"/>
        </w:rPr>
        <w:t>commissioned the authors to undertake th</w:t>
      </w:r>
      <w:r>
        <w:rPr>
          <w:rFonts w:ascii="Calibri" w:hAnsi="Calibri"/>
          <w:color w:val="000000" w:themeColor="text1"/>
        </w:rPr>
        <w:t>is</w:t>
      </w:r>
      <w:r w:rsidR="00F15A3A" w:rsidRPr="008C3140">
        <w:rPr>
          <w:rFonts w:ascii="Calibri" w:hAnsi="Calibri"/>
          <w:color w:val="000000" w:themeColor="text1"/>
        </w:rPr>
        <w:t xml:space="preserve"> Working Party Report.</w:t>
      </w:r>
      <w:r w:rsidR="00FB2632">
        <w:rPr>
          <w:rFonts w:ascii="Calibri" w:hAnsi="Calibri"/>
          <w:color w:val="000000" w:themeColor="text1"/>
        </w:rPr>
        <w:t xml:space="preserve"> </w:t>
      </w:r>
      <w:r w:rsidR="00F15A3A" w:rsidRPr="008C3140">
        <w:rPr>
          <w:rFonts w:ascii="Calibri" w:hAnsi="Calibri"/>
          <w:color w:val="000000" w:themeColor="text1"/>
        </w:rPr>
        <w:t xml:space="preserve">The authors are members of </w:t>
      </w:r>
      <w:r w:rsidR="00363109">
        <w:rPr>
          <w:rFonts w:ascii="Calibri" w:hAnsi="Calibri"/>
          <w:color w:val="000000" w:themeColor="text1"/>
        </w:rPr>
        <w:t>the</w:t>
      </w:r>
      <w:r w:rsidR="00F15A3A" w:rsidRPr="008C3140">
        <w:rPr>
          <w:rFonts w:ascii="Calibri" w:hAnsi="Calibri"/>
          <w:color w:val="000000" w:themeColor="text1"/>
        </w:rPr>
        <w:t xml:space="preserve"> </w:t>
      </w:r>
      <w:r>
        <w:rPr>
          <w:rFonts w:ascii="Calibri" w:hAnsi="Calibri"/>
          <w:color w:val="000000" w:themeColor="text1"/>
        </w:rPr>
        <w:t xml:space="preserve">participating </w:t>
      </w:r>
      <w:r w:rsidR="00F15A3A" w:rsidRPr="008C3140">
        <w:rPr>
          <w:rFonts w:ascii="Calibri" w:hAnsi="Calibri"/>
          <w:color w:val="000000" w:themeColor="text1"/>
        </w:rPr>
        <w:t>societies</w:t>
      </w:r>
      <w:r>
        <w:rPr>
          <w:rFonts w:ascii="Calibri" w:hAnsi="Calibri"/>
          <w:color w:val="000000" w:themeColor="text1"/>
        </w:rPr>
        <w:t xml:space="preserve"> mentioned in section 4.1</w:t>
      </w:r>
      <w:r w:rsidR="00F15A3A" w:rsidRPr="008C3140">
        <w:rPr>
          <w:rFonts w:ascii="Calibri" w:hAnsi="Calibri"/>
          <w:color w:val="000000" w:themeColor="text1"/>
        </w:rPr>
        <w:t>.</w:t>
      </w:r>
      <w:r w:rsidR="00FB2632">
        <w:rPr>
          <w:rFonts w:ascii="Calibri" w:hAnsi="Calibri"/>
          <w:color w:val="000000" w:themeColor="text1"/>
        </w:rPr>
        <w:t xml:space="preserve"> </w:t>
      </w:r>
    </w:p>
    <w:p w14:paraId="383CA2AC" w14:textId="06D9F3B7" w:rsidR="00AF08D5" w:rsidRPr="00555B31" w:rsidRDefault="004D288B" w:rsidP="00CF7116">
      <w:pPr>
        <w:pStyle w:val="Heading2"/>
        <w:spacing w:before="240" w:after="160" w:line="276" w:lineRule="auto"/>
      </w:pPr>
      <w:r>
        <w:t xml:space="preserve">4.5 </w:t>
      </w:r>
      <w:r w:rsidR="00AF08D5" w:rsidRPr="00555B31">
        <w:t>Responsibility for guid</w:t>
      </w:r>
      <w:r w:rsidR="0023406F">
        <w:t>elines</w:t>
      </w:r>
    </w:p>
    <w:p w14:paraId="7E3BC6A1" w14:textId="2C028CFF" w:rsidR="00AF08D5" w:rsidRPr="008C3140" w:rsidRDefault="00AF08D5" w:rsidP="00CF7116">
      <w:pPr>
        <w:spacing w:before="240" w:line="276" w:lineRule="auto"/>
        <w:jc w:val="both"/>
        <w:rPr>
          <w:color w:val="000000" w:themeColor="text1"/>
        </w:rPr>
      </w:pPr>
      <w:r w:rsidRPr="008C3140">
        <w:rPr>
          <w:color w:val="000000" w:themeColor="text1"/>
        </w:rPr>
        <w:t xml:space="preserve">The views expressed in this publication are those of the authors and have been endorsed by </w:t>
      </w:r>
      <w:r w:rsidR="00B0545F">
        <w:rPr>
          <w:color w:val="000000" w:themeColor="text1"/>
        </w:rPr>
        <w:t>HIS</w:t>
      </w:r>
      <w:r w:rsidR="00063B36">
        <w:rPr>
          <w:color w:val="000000" w:themeColor="text1"/>
        </w:rPr>
        <w:t>,</w:t>
      </w:r>
      <w:r w:rsidR="00A74B51">
        <w:rPr>
          <w:color w:val="000000" w:themeColor="text1"/>
        </w:rPr>
        <w:t xml:space="preserve"> </w:t>
      </w:r>
      <w:r w:rsidR="00B0545F" w:rsidRPr="00B0545F">
        <w:rPr>
          <w:color w:val="000000" w:themeColor="text1"/>
        </w:rPr>
        <w:t>IPS</w:t>
      </w:r>
      <w:r w:rsidR="00803C9C">
        <w:rPr>
          <w:color w:val="000000" w:themeColor="text1"/>
        </w:rPr>
        <w:t xml:space="preserve"> and</w:t>
      </w:r>
      <w:r w:rsidR="00B0545F" w:rsidRPr="00B0545F">
        <w:rPr>
          <w:color w:val="000000" w:themeColor="text1"/>
        </w:rPr>
        <w:t xml:space="preserve"> </w:t>
      </w:r>
      <w:r w:rsidR="00803C9C">
        <w:rPr>
          <w:color w:val="000000" w:themeColor="text1"/>
        </w:rPr>
        <w:t>BIA</w:t>
      </w:r>
      <w:r w:rsidR="00B0545F">
        <w:rPr>
          <w:color w:val="000000" w:themeColor="text1"/>
        </w:rPr>
        <w:t xml:space="preserve"> </w:t>
      </w:r>
      <w:r w:rsidR="00A74B51">
        <w:rPr>
          <w:color w:val="000000" w:themeColor="text1"/>
        </w:rPr>
        <w:t>and</w:t>
      </w:r>
      <w:r w:rsidRPr="008C3140">
        <w:rPr>
          <w:color w:val="000000" w:themeColor="text1"/>
        </w:rPr>
        <w:t xml:space="preserve"> </w:t>
      </w:r>
      <w:r w:rsidR="00834A73">
        <w:rPr>
          <w:color w:val="000000" w:themeColor="text1"/>
        </w:rPr>
        <w:t xml:space="preserve">approved </w:t>
      </w:r>
      <w:r w:rsidR="00A74B51">
        <w:rPr>
          <w:color w:val="000000" w:themeColor="text1"/>
        </w:rPr>
        <w:t xml:space="preserve">following </w:t>
      </w:r>
      <w:r w:rsidR="00B0545F">
        <w:rPr>
          <w:color w:val="000000" w:themeColor="text1"/>
        </w:rPr>
        <w:t>a consultation with external stakeholders</w:t>
      </w:r>
      <w:r w:rsidR="00D8182F">
        <w:rPr>
          <w:color w:val="000000" w:themeColor="text1"/>
        </w:rPr>
        <w:t xml:space="preserve"> (</w:t>
      </w:r>
      <w:r w:rsidR="00786DA8">
        <w:rPr>
          <w:color w:val="000000" w:themeColor="text1"/>
        </w:rPr>
        <w:t>S</w:t>
      </w:r>
      <w:r w:rsidR="00D8182F">
        <w:rPr>
          <w:color w:val="000000" w:themeColor="text1"/>
        </w:rPr>
        <w:t>upplementary</w:t>
      </w:r>
      <w:r w:rsidR="00786DA8">
        <w:rPr>
          <w:color w:val="000000" w:themeColor="text1"/>
        </w:rPr>
        <w:t xml:space="preserve"> Materials</w:t>
      </w:r>
      <w:r w:rsidR="00D8182F">
        <w:rPr>
          <w:color w:val="000000" w:themeColor="text1"/>
        </w:rPr>
        <w:t xml:space="preserve"> file </w:t>
      </w:r>
      <w:r w:rsidR="00786DA8">
        <w:rPr>
          <w:color w:val="000000" w:themeColor="text1"/>
        </w:rPr>
        <w:t>C</w:t>
      </w:r>
      <w:r w:rsidR="00D8182F" w:rsidRPr="00786DA8">
        <w:rPr>
          <w:color w:val="000000" w:themeColor="text1"/>
        </w:rPr>
        <w:t>)</w:t>
      </w:r>
      <w:r w:rsidRPr="00786DA8">
        <w:rPr>
          <w:color w:val="000000" w:themeColor="text1"/>
        </w:rPr>
        <w:t>.</w:t>
      </w:r>
    </w:p>
    <w:p w14:paraId="287140F8" w14:textId="3D93C4EF" w:rsidR="00B967C6" w:rsidRDefault="00AF08D5" w:rsidP="00CF7116">
      <w:pPr>
        <w:pStyle w:val="Heading1"/>
        <w:numPr>
          <w:ilvl w:val="0"/>
          <w:numId w:val="27"/>
        </w:numPr>
        <w:spacing w:after="160" w:line="276" w:lineRule="auto"/>
      </w:pPr>
      <w:r w:rsidRPr="00555B31">
        <w:lastRenderedPageBreak/>
        <w:t>Working Party Report</w:t>
      </w:r>
    </w:p>
    <w:p w14:paraId="1BD63A58" w14:textId="6A616FFB" w:rsidR="00AF08D5" w:rsidRPr="00555B31" w:rsidRDefault="004D288B" w:rsidP="00CF7116">
      <w:pPr>
        <w:pStyle w:val="Heading2"/>
        <w:spacing w:before="240" w:after="160" w:line="276" w:lineRule="auto"/>
      </w:pPr>
      <w:r>
        <w:t xml:space="preserve">5.1 </w:t>
      </w:r>
      <w:r w:rsidR="00AF08D5" w:rsidRPr="00555B31">
        <w:t xml:space="preserve">What is the Working Party Report? </w:t>
      </w:r>
    </w:p>
    <w:p w14:paraId="48DC0F4C" w14:textId="3A8C023A" w:rsidR="00B0545F" w:rsidRDefault="00B0545F" w:rsidP="00CF7116">
      <w:pPr>
        <w:spacing w:before="240" w:line="276" w:lineRule="auto"/>
        <w:jc w:val="both"/>
        <w:rPr>
          <w:color w:val="000000" w:themeColor="text1"/>
        </w:rPr>
      </w:pPr>
      <w:r w:rsidRPr="00B0545F">
        <w:rPr>
          <w:color w:val="000000" w:themeColor="text1"/>
        </w:rPr>
        <w:t xml:space="preserve">This report contains recommendations </w:t>
      </w:r>
      <w:r w:rsidR="00803C9C">
        <w:rPr>
          <w:color w:val="000000" w:themeColor="text1"/>
        </w:rPr>
        <w:t xml:space="preserve">which aim </w:t>
      </w:r>
      <w:r w:rsidRPr="00B0545F">
        <w:rPr>
          <w:color w:val="000000" w:themeColor="text1"/>
        </w:rPr>
        <w:t xml:space="preserve">to minimise the risk of </w:t>
      </w:r>
      <w:r w:rsidR="00803C9C">
        <w:rPr>
          <w:color w:val="000000" w:themeColor="text1"/>
        </w:rPr>
        <w:t xml:space="preserve">norovirus transmission in health and care settings. </w:t>
      </w:r>
      <w:r w:rsidRPr="00B0545F">
        <w:rPr>
          <w:color w:val="000000" w:themeColor="text1"/>
        </w:rPr>
        <w:t>The Working Party recommendations represent examples of good practice; they have been developed systematically through a multi-professional group based on published evidence and professional experience. These recommendations may be used in the development of local protocols for all health</w:t>
      </w:r>
      <w:r w:rsidR="00803C9C">
        <w:rPr>
          <w:color w:val="000000" w:themeColor="text1"/>
        </w:rPr>
        <w:t xml:space="preserve"> and </w:t>
      </w:r>
      <w:r w:rsidRPr="00B0545F">
        <w:rPr>
          <w:color w:val="000000" w:themeColor="text1"/>
        </w:rPr>
        <w:t>care settings.</w:t>
      </w:r>
      <w:r>
        <w:rPr>
          <w:color w:val="000000" w:themeColor="text1"/>
        </w:rPr>
        <w:t xml:space="preserve"> </w:t>
      </w:r>
      <w:r w:rsidR="00803C9C">
        <w:rPr>
          <w:color w:val="000000" w:themeColor="text1"/>
        </w:rPr>
        <w:t xml:space="preserve">We also recognise that some other closed and semi-closed settings may benefit from these guidelines. </w:t>
      </w:r>
    </w:p>
    <w:p w14:paraId="78240ADA" w14:textId="669D11A0" w:rsidR="00AF08D5" w:rsidRPr="00555B31" w:rsidRDefault="004D288B" w:rsidP="00CF7116">
      <w:pPr>
        <w:pStyle w:val="Heading2"/>
        <w:spacing w:before="240" w:after="160" w:line="276" w:lineRule="auto"/>
      </w:pPr>
      <w:r>
        <w:t xml:space="preserve">5.2 </w:t>
      </w:r>
      <w:bookmarkStart w:id="3" w:name="_Hlk85110688"/>
      <w:r w:rsidR="00AF08D5" w:rsidRPr="00555B31">
        <w:t xml:space="preserve">Why do we need a Working Party Report for this topic? </w:t>
      </w:r>
      <w:bookmarkEnd w:id="3"/>
    </w:p>
    <w:p w14:paraId="47E4963C" w14:textId="480DF971" w:rsidR="00960E02" w:rsidRPr="00960E02" w:rsidRDefault="00960E02" w:rsidP="00CF7116">
      <w:pPr>
        <w:spacing w:before="240" w:line="276" w:lineRule="auto"/>
        <w:jc w:val="both"/>
        <w:rPr>
          <w:color w:val="FF0000"/>
        </w:rPr>
      </w:pPr>
      <w:r w:rsidRPr="00960E02">
        <w:t>The previous guidelines relating to this topic were published in 20</w:t>
      </w:r>
      <w:r w:rsidR="00803C9C">
        <w:t>1</w:t>
      </w:r>
      <w:r>
        <w:t>2</w:t>
      </w:r>
      <w:r w:rsidRPr="00960E02">
        <w:t>.</w:t>
      </w:r>
      <w:r w:rsidR="00AC0F9C" w:rsidRPr="00AC0F9C">
        <w:rPr>
          <w:vertAlign w:val="superscript"/>
        </w:rPr>
        <w:t>1</w:t>
      </w:r>
      <w:r w:rsidRPr="00960E02">
        <w:t xml:space="preserve"> </w:t>
      </w:r>
      <w:r>
        <w:t xml:space="preserve">During this time there have been </w:t>
      </w:r>
      <w:r w:rsidR="00803C9C">
        <w:t xml:space="preserve">some </w:t>
      </w:r>
      <w:r>
        <w:t>improvements in</w:t>
      </w:r>
      <w:r w:rsidR="00803C9C">
        <w:t xml:space="preserve"> how norovirus is handled in healthcare settings and some technologies (i.e. molecular testing and some disinfection devices) have become more available. Additionally, there is now more evidence that immunocompromised and immunosuppressed individuals may suffer from chronic infections and may require different management. </w:t>
      </w:r>
      <w:r w:rsidR="00834A73" w:rsidRPr="00B47ED8">
        <w:t>Th</w:t>
      </w:r>
      <w:r w:rsidR="0023406F">
        <w:t>ese guidelines</w:t>
      </w:r>
      <w:r w:rsidR="00834A73" w:rsidRPr="00B47ED8">
        <w:t xml:space="preserve"> fill a clinical gap by providing </w:t>
      </w:r>
      <w:r w:rsidR="00803C9C">
        <w:t xml:space="preserve">up-to date </w:t>
      </w:r>
      <w:r w:rsidR="00834A73" w:rsidRPr="00B47ED8">
        <w:t>recommendations on w</w:t>
      </w:r>
      <w:r w:rsidRPr="00B47ED8">
        <w:t xml:space="preserve">hat actions need to be taken </w:t>
      </w:r>
      <w:r w:rsidR="00834A73" w:rsidRPr="00B47ED8">
        <w:t xml:space="preserve">by </w:t>
      </w:r>
      <w:r w:rsidR="00803C9C">
        <w:t>health and care facilities to minimise the risk of norovirus transmission and prevent the outbreaks</w:t>
      </w:r>
      <w:r w:rsidRPr="00B47ED8">
        <w:t>.</w:t>
      </w:r>
      <w:r w:rsidRPr="007E4031">
        <w:t xml:space="preserve"> </w:t>
      </w:r>
    </w:p>
    <w:p w14:paraId="3F3F63F3" w14:textId="646A8636" w:rsidR="00AF08D5" w:rsidRPr="00555B31" w:rsidRDefault="004D288B" w:rsidP="00CF7116">
      <w:pPr>
        <w:pStyle w:val="Heading2"/>
        <w:spacing w:before="240" w:after="160" w:line="276" w:lineRule="auto"/>
      </w:pPr>
      <w:r>
        <w:t xml:space="preserve">5.3 </w:t>
      </w:r>
      <w:r w:rsidR="00AF08D5" w:rsidRPr="00555B31">
        <w:t>What is the purpose of the Working Party Report’s recommendations?</w:t>
      </w:r>
    </w:p>
    <w:p w14:paraId="20154741" w14:textId="5FB65884" w:rsidR="0023406F" w:rsidRDefault="0023406F" w:rsidP="00CF7116">
      <w:pPr>
        <w:pStyle w:val="Heading2"/>
        <w:spacing w:before="240" w:after="160" w:line="276" w:lineRule="auto"/>
        <w:rPr>
          <w:rFonts w:eastAsiaTheme="minorHAnsi" w:cstheme="minorBidi"/>
          <w:b w:val="0"/>
          <w:color w:val="000000" w:themeColor="text1"/>
          <w:sz w:val="22"/>
          <w:szCs w:val="22"/>
        </w:rPr>
      </w:pPr>
      <w:r w:rsidRPr="0023406F">
        <w:rPr>
          <w:rFonts w:eastAsiaTheme="minorHAnsi" w:cstheme="minorBidi"/>
          <w:b w:val="0"/>
          <w:color w:val="000000" w:themeColor="text1"/>
          <w:sz w:val="22"/>
          <w:szCs w:val="22"/>
        </w:rPr>
        <w:t>The main purpose of these guidelines is to inform IPC practitioners about the current UK</w:t>
      </w:r>
      <w:r>
        <w:rPr>
          <w:rFonts w:eastAsiaTheme="minorHAnsi" w:cstheme="minorBidi"/>
          <w:b w:val="0"/>
          <w:color w:val="000000" w:themeColor="text1"/>
          <w:sz w:val="22"/>
          <w:szCs w:val="22"/>
        </w:rPr>
        <w:t xml:space="preserve"> </w:t>
      </w:r>
      <w:r w:rsidRPr="0023406F">
        <w:rPr>
          <w:rFonts w:eastAsiaTheme="minorHAnsi" w:cstheme="minorBidi"/>
          <w:b w:val="0"/>
          <w:color w:val="000000" w:themeColor="text1"/>
          <w:sz w:val="22"/>
          <w:szCs w:val="22"/>
        </w:rPr>
        <w:t xml:space="preserve">policy and best available options for preventing and controlling </w:t>
      </w:r>
      <w:r>
        <w:rPr>
          <w:rFonts w:eastAsiaTheme="minorHAnsi" w:cstheme="minorBidi"/>
          <w:b w:val="0"/>
          <w:color w:val="000000" w:themeColor="text1"/>
          <w:sz w:val="22"/>
          <w:szCs w:val="22"/>
        </w:rPr>
        <w:t>norovirus outbreaks in health and care settings</w:t>
      </w:r>
      <w:r w:rsidRPr="0023406F">
        <w:rPr>
          <w:rFonts w:eastAsiaTheme="minorHAnsi" w:cstheme="minorBidi"/>
          <w:b w:val="0"/>
          <w:color w:val="000000" w:themeColor="text1"/>
          <w:sz w:val="22"/>
          <w:szCs w:val="22"/>
        </w:rPr>
        <w:t>.</w:t>
      </w:r>
      <w:r>
        <w:rPr>
          <w:rFonts w:eastAsiaTheme="minorHAnsi" w:cstheme="minorBidi"/>
          <w:b w:val="0"/>
          <w:color w:val="000000" w:themeColor="text1"/>
          <w:sz w:val="22"/>
          <w:szCs w:val="22"/>
        </w:rPr>
        <w:t xml:space="preserve"> </w:t>
      </w:r>
      <w:r w:rsidRPr="0023406F">
        <w:rPr>
          <w:rFonts w:eastAsiaTheme="minorHAnsi" w:cstheme="minorBidi"/>
          <w:b w:val="0"/>
          <w:color w:val="000000" w:themeColor="text1"/>
          <w:sz w:val="22"/>
          <w:szCs w:val="22"/>
        </w:rPr>
        <w:t>This document also</w:t>
      </w:r>
      <w:r>
        <w:rPr>
          <w:rFonts w:eastAsiaTheme="minorHAnsi" w:cstheme="minorBidi"/>
          <w:b w:val="0"/>
          <w:color w:val="000000" w:themeColor="text1"/>
          <w:sz w:val="22"/>
          <w:szCs w:val="22"/>
        </w:rPr>
        <w:t xml:space="preserve"> </w:t>
      </w:r>
      <w:r w:rsidRPr="0023406F">
        <w:rPr>
          <w:rFonts w:eastAsiaTheme="minorHAnsi" w:cstheme="minorBidi"/>
          <w:b w:val="0"/>
          <w:color w:val="000000" w:themeColor="text1"/>
          <w:sz w:val="22"/>
          <w:szCs w:val="22"/>
        </w:rPr>
        <w:t>highlights current gaps in knowledge, which will help to direct future areas of research.</w:t>
      </w:r>
      <w:r>
        <w:rPr>
          <w:rFonts w:eastAsiaTheme="minorHAnsi" w:cstheme="minorBidi"/>
          <w:b w:val="0"/>
          <w:color w:val="000000" w:themeColor="text1"/>
          <w:sz w:val="22"/>
          <w:szCs w:val="22"/>
        </w:rPr>
        <w:t xml:space="preserve"> </w:t>
      </w:r>
    </w:p>
    <w:p w14:paraId="289C4505" w14:textId="2406486D" w:rsidR="00AF08D5" w:rsidRPr="00555B31" w:rsidRDefault="004D288B" w:rsidP="00CF7116">
      <w:pPr>
        <w:pStyle w:val="Heading2"/>
        <w:spacing w:before="240" w:after="160" w:line="276" w:lineRule="auto"/>
      </w:pPr>
      <w:r>
        <w:t xml:space="preserve">5.4 </w:t>
      </w:r>
      <w:r w:rsidR="00AF08D5" w:rsidRPr="00555B31">
        <w:t>What is the scope of the guid</w:t>
      </w:r>
      <w:r w:rsidR="00803C9C">
        <w:t>elines</w:t>
      </w:r>
      <w:r w:rsidR="00AF08D5" w:rsidRPr="00555B31">
        <w:t>?</w:t>
      </w:r>
    </w:p>
    <w:p w14:paraId="2E7E7714" w14:textId="05E36DC5" w:rsidR="000A3D3E" w:rsidRPr="008C3140" w:rsidRDefault="00B0545F" w:rsidP="00CF7116">
      <w:pPr>
        <w:spacing w:before="240" w:line="276" w:lineRule="auto"/>
        <w:jc w:val="both"/>
        <w:rPr>
          <w:color w:val="000000" w:themeColor="text1"/>
        </w:rPr>
      </w:pPr>
      <w:r w:rsidRPr="00B0545F">
        <w:rPr>
          <w:color w:val="000000" w:themeColor="text1"/>
        </w:rPr>
        <w:t>Th</w:t>
      </w:r>
      <w:r w:rsidR="0023406F">
        <w:rPr>
          <w:color w:val="000000" w:themeColor="text1"/>
        </w:rPr>
        <w:t xml:space="preserve">ese guidelines were developed with hospitals and other </w:t>
      </w:r>
      <w:r w:rsidR="00803C9C">
        <w:rPr>
          <w:color w:val="000000" w:themeColor="text1"/>
        </w:rPr>
        <w:t xml:space="preserve">closed and semi-closed facilities in the health and care setting. </w:t>
      </w:r>
      <w:r w:rsidR="0023406F">
        <w:rPr>
          <w:color w:val="000000" w:themeColor="text1"/>
        </w:rPr>
        <w:t xml:space="preserve">The guidelines are suitable for patients of all age groups. </w:t>
      </w:r>
      <w:r w:rsidR="00834A73">
        <w:rPr>
          <w:color w:val="000000" w:themeColor="text1"/>
        </w:rPr>
        <w:t>While the focus of th</w:t>
      </w:r>
      <w:r w:rsidR="00803C9C">
        <w:rPr>
          <w:color w:val="000000" w:themeColor="text1"/>
        </w:rPr>
        <w:t xml:space="preserve">ese guidelines is health and care facilities, </w:t>
      </w:r>
      <w:r w:rsidR="00FD1C52" w:rsidRPr="00FD1C52">
        <w:rPr>
          <w:color w:val="000000" w:themeColor="text1"/>
        </w:rPr>
        <w:t>the Working Party acknowledge that some of these recommendations may also be relevant</w:t>
      </w:r>
      <w:r w:rsidR="00803C9C">
        <w:rPr>
          <w:color w:val="000000" w:themeColor="text1"/>
        </w:rPr>
        <w:t xml:space="preserve"> in other institutions such as prisons or day care centres</w:t>
      </w:r>
      <w:r w:rsidRPr="00B0545F">
        <w:rPr>
          <w:color w:val="000000" w:themeColor="text1"/>
        </w:rPr>
        <w:t>.</w:t>
      </w:r>
      <w:r w:rsidR="00834A73">
        <w:rPr>
          <w:color w:val="000000" w:themeColor="text1"/>
        </w:rPr>
        <w:t xml:space="preserve"> </w:t>
      </w:r>
    </w:p>
    <w:p w14:paraId="44AB03B2" w14:textId="6FE48AE2" w:rsidR="00AF08D5" w:rsidRPr="00555B31" w:rsidRDefault="004D288B" w:rsidP="00CF7116">
      <w:pPr>
        <w:pStyle w:val="Heading2"/>
        <w:spacing w:before="240" w:after="160" w:line="276" w:lineRule="auto"/>
      </w:pPr>
      <w:r>
        <w:t xml:space="preserve">5.5 </w:t>
      </w:r>
      <w:r w:rsidR="00AF08D5" w:rsidRPr="00555B31">
        <w:t>What is the evidence for th</w:t>
      </w:r>
      <w:r w:rsidR="0023406F">
        <w:t>ese guidelines</w:t>
      </w:r>
      <w:r w:rsidR="00AF08D5" w:rsidRPr="00555B31">
        <w:t xml:space="preserve">? </w:t>
      </w:r>
    </w:p>
    <w:p w14:paraId="3EE7AF05" w14:textId="530B91F7" w:rsidR="00861738" w:rsidRPr="0023406F" w:rsidRDefault="0023406F" w:rsidP="00CF7116">
      <w:pPr>
        <w:spacing w:before="240" w:line="276" w:lineRule="auto"/>
        <w:jc w:val="both"/>
        <w:rPr>
          <w:color w:val="000000" w:themeColor="text1"/>
        </w:rPr>
      </w:pPr>
      <w:r w:rsidRPr="0023406F">
        <w:rPr>
          <w:color w:val="000000" w:themeColor="text1"/>
        </w:rPr>
        <w:t>Topics for these guidelines were derived from stakeholder meetings and were designed in accordance with the Population Intervention</w:t>
      </w:r>
      <w:r>
        <w:rPr>
          <w:color w:val="000000" w:themeColor="text1"/>
        </w:rPr>
        <w:t xml:space="preserve"> </w:t>
      </w:r>
      <w:r w:rsidRPr="0023406F">
        <w:rPr>
          <w:color w:val="000000" w:themeColor="text1"/>
        </w:rPr>
        <w:t>Comparison Outcomes (PICO) framework (Appendix 1)</w:t>
      </w:r>
      <w:r>
        <w:rPr>
          <w:color w:val="000000" w:themeColor="text1"/>
        </w:rPr>
        <w:t xml:space="preserve">. </w:t>
      </w:r>
      <w:r w:rsidR="00B0545F" w:rsidRPr="00B0545F">
        <w:rPr>
          <w:color w:val="000000" w:themeColor="text1"/>
        </w:rPr>
        <w:t xml:space="preserve">In the preparation of these recommendations, systematic </w:t>
      </w:r>
      <w:r w:rsidR="00B0545F">
        <w:rPr>
          <w:color w:val="000000" w:themeColor="text1"/>
        </w:rPr>
        <w:t>search</w:t>
      </w:r>
      <w:r w:rsidR="00834A73">
        <w:rPr>
          <w:color w:val="000000" w:themeColor="text1"/>
        </w:rPr>
        <w:t>es</w:t>
      </w:r>
      <w:r w:rsidR="00B0545F">
        <w:rPr>
          <w:color w:val="000000" w:themeColor="text1"/>
        </w:rPr>
        <w:t xml:space="preserve"> and systematic review</w:t>
      </w:r>
      <w:r w:rsidR="00834A73">
        <w:rPr>
          <w:color w:val="000000" w:themeColor="text1"/>
        </w:rPr>
        <w:t>s</w:t>
      </w:r>
      <w:r w:rsidR="00B0545F">
        <w:rPr>
          <w:color w:val="000000" w:themeColor="text1"/>
        </w:rPr>
        <w:t xml:space="preserve"> </w:t>
      </w:r>
      <w:r w:rsidR="00B0545F" w:rsidRPr="00B0545F">
        <w:rPr>
          <w:color w:val="000000" w:themeColor="text1"/>
        </w:rPr>
        <w:t>of published literature w</w:t>
      </w:r>
      <w:r w:rsidR="00B0545F">
        <w:rPr>
          <w:color w:val="000000" w:themeColor="text1"/>
        </w:rPr>
        <w:t>ere</w:t>
      </w:r>
      <w:r w:rsidR="00B0545F" w:rsidRPr="00B0545F">
        <w:rPr>
          <w:color w:val="000000" w:themeColor="text1"/>
        </w:rPr>
        <w:t xml:space="preserve"> undertaken. Evidence was assessed for methodological quality and clinical applicability according to </w:t>
      </w:r>
      <w:r w:rsidR="00B0545F">
        <w:rPr>
          <w:color w:val="000000" w:themeColor="text1"/>
        </w:rPr>
        <w:t>NICE</w:t>
      </w:r>
      <w:r w:rsidR="00B0545F" w:rsidRPr="00B0545F">
        <w:rPr>
          <w:color w:val="000000" w:themeColor="text1"/>
        </w:rPr>
        <w:t xml:space="preserve"> protocols</w:t>
      </w:r>
      <w:r>
        <w:rPr>
          <w:color w:val="000000" w:themeColor="text1"/>
        </w:rPr>
        <w:t>.</w:t>
      </w:r>
      <w:r w:rsidR="00AC0F9C">
        <w:rPr>
          <w:color w:val="000000" w:themeColor="text1"/>
          <w:vertAlign w:val="superscript"/>
        </w:rPr>
        <w:t>9</w:t>
      </w:r>
      <w:r w:rsidR="00834A73">
        <w:rPr>
          <w:color w:val="000000" w:themeColor="text1"/>
        </w:rPr>
        <w:t xml:space="preserve"> </w:t>
      </w:r>
    </w:p>
    <w:p w14:paraId="59321BDF" w14:textId="20A5A781" w:rsidR="00AF08D5" w:rsidRPr="00555B31" w:rsidRDefault="004D288B" w:rsidP="00CF7116">
      <w:pPr>
        <w:pStyle w:val="Heading2"/>
        <w:spacing w:before="240" w:after="160" w:line="276" w:lineRule="auto"/>
      </w:pPr>
      <w:r>
        <w:lastRenderedPageBreak/>
        <w:t xml:space="preserve">5.6 </w:t>
      </w:r>
      <w:r w:rsidR="00AF08D5" w:rsidRPr="00555B31">
        <w:t xml:space="preserve">Who developed </w:t>
      </w:r>
      <w:r w:rsidR="0023406F" w:rsidRPr="0023406F">
        <w:t>these guidelines</w:t>
      </w:r>
      <w:r w:rsidR="00AF08D5" w:rsidRPr="00555B31">
        <w:t xml:space="preserve">? </w:t>
      </w:r>
    </w:p>
    <w:p w14:paraId="04ECFD47" w14:textId="60756E2E" w:rsidR="00B967C6" w:rsidRPr="008C3140" w:rsidRDefault="00B967C6" w:rsidP="00CF7116">
      <w:pPr>
        <w:spacing w:before="240" w:line="276" w:lineRule="auto"/>
        <w:jc w:val="both"/>
        <w:rPr>
          <w:color w:val="000000" w:themeColor="text1"/>
        </w:rPr>
      </w:pPr>
      <w:r w:rsidRPr="008C3140">
        <w:rPr>
          <w:color w:val="000000" w:themeColor="text1"/>
        </w:rPr>
        <w:t xml:space="preserve">The </w:t>
      </w:r>
      <w:r w:rsidR="00540459">
        <w:rPr>
          <w:color w:val="000000" w:themeColor="text1"/>
        </w:rPr>
        <w:t>Working Party</w:t>
      </w:r>
      <w:r w:rsidRPr="008C3140">
        <w:rPr>
          <w:color w:val="000000" w:themeColor="text1"/>
        </w:rPr>
        <w:t xml:space="preserve"> included </w:t>
      </w:r>
      <w:r w:rsidR="00803C9C">
        <w:rPr>
          <w:color w:val="000000" w:themeColor="text1"/>
        </w:rPr>
        <w:t xml:space="preserve">academic and </w:t>
      </w:r>
      <w:r w:rsidR="00B0545F" w:rsidRPr="00B0545F">
        <w:rPr>
          <w:color w:val="000000" w:themeColor="text1"/>
        </w:rPr>
        <w:t xml:space="preserve">medical </w:t>
      </w:r>
      <w:r w:rsidR="00803C9C">
        <w:rPr>
          <w:color w:val="000000" w:themeColor="text1"/>
        </w:rPr>
        <w:t>experts</w:t>
      </w:r>
      <w:r w:rsidR="00B0545F" w:rsidRPr="00B0545F">
        <w:rPr>
          <w:color w:val="000000" w:themeColor="text1"/>
        </w:rPr>
        <w:t xml:space="preserve">, </w:t>
      </w:r>
      <w:r w:rsidR="00803C9C">
        <w:rPr>
          <w:color w:val="000000" w:themeColor="text1"/>
        </w:rPr>
        <w:t>virologists</w:t>
      </w:r>
      <w:r w:rsidR="0023406F">
        <w:rPr>
          <w:color w:val="000000" w:themeColor="text1"/>
        </w:rPr>
        <w:t xml:space="preserve"> and microbiologists</w:t>
      </w:r>
      <w:r w:rsidR="00803C9C">
        <w:rPr>
          <w:color w:val="000000" w:themeColor="text1"/>
        </w:rPr>
        <w:t>, clinical</w:t>
      </w:r>
      <w:r w:rsidR="00B0545F" w:rsidRPr="00B0545F">
        <w:rPr>
          <w:color w:val="000000" w:themeColor="text1"/>
        </w:rPr>
        <w:t xml:space="preserve"> scienti</w:t>
      </w:r>
      <w:r w:rsidR="00803C9C">
        <w:rPr>
          <w:color w:val="000000" w:themeColor="text1"/>
        </w:rPr>
        <w:t>s</w:t>
      </w:r>
      <w:r w:rsidR="00B0545F" w:rsidRPr="00B0545F">
        <w:rPr>
          <w:color w:val="000000" w:themeColor="text1"/>
        </w:rPr>
        <w:t>ts</w:t>
      </w:r>
      <w:r w:rsidR="0023406F">
        <w:rPr>
          <w:color w:val="000000" w:themeColor="text1"/>
        </w:rPr>
        <w:t xml:space="preserve">, </w:t>
      </w:r>
      <w:r w:rsidR="00B0545F" w:rsidRPr="00B0545F">
        <w:rPr>
          <w:color w:val="000000" w:themeColor="text1"/>
        </w:rPr>
        <w:t>infection control practitioners</w:t>
      </w:r>
      <w:r w:rsidR="0023406F">
        <w:rPr>
          <w:color w:val="000000" w:themeColor="text1"/>
        </w:rPr>
        <w:t>, systematic reviewers and two lay member representatives</w:t>
      </w:r>
      <w:r w:rsidR="00B0545F">
        <w:rPr>
          <w:color w:val="000000" w:themeColor="text1"/>
        </w:rPr>
        <w:t>.</w:t>
      </w:r>
      <w:r w:rsidR="00B0545F" w:rsidRPr="00B0545F">
        <w:rPr>
          <w:color w:val="000000" w:themeColor="text1"/>
        </w:rPr>
        <w:t xml:space="preserve"> </w:t>
      </w:r>
    </w:p>
    <w:p w14:paraId="12BD2D8A" w14:textId="5E32C58B" w:rsidR="00AF08D5" w:rsidRPr="00555B31" w:rsidRDefault="004D288B" w:rsidP="00CF7116">
      <w:pPr>
        <w:pStyle w:val="Heading2"/>
        <w:spacing w:before="240" w:after="160" w:line="276" w:lineRule="auto"/>
      </w:pPr>
      <w:r>
        <w:t xml:space="preserve">5.7 </w:t>
      </w:r>
      <w:r w:rsidR="00AF08D5" w:rsidRPr="00555B31">
        <w:t xml:space="preserve">Who </w:t>
      </w:r>
      <w:r w:rsidR="0023406F">
        <w:t xml:space="preserve">are </w:t>
      </w:r>
      <w:r w:rsidR="0023406F" w:rsidRPr="0023406F">
        <w:t>these guidelines</w:t>
      </w:r>
      <w:r w:rsidR="00AF08D5" w:rsidRPr="00555B31">
        <w:t xml:space="preserve"> for? </w:t>
      </w:r>
    </w:p>
    <w:p w14:paraId="60968B62" w14:textId="05C73451" w:rsidR="00861738" w:rsidRPr="008C3140" w:rsidRDefault="00B0545F" w:rsidP="00CF7116">
      <w:pPr>
        <w:spacing w:before="240" w:line="276" w:lineRule="auto"/>
        <w:jc w:val="both"/>
        <w:rPr>
          <w:color w:val="000000" w:themeColor="text1"/>
        </w:rPr>
      </w:pPr>
      <w:r w:rsidRPr="00B0545F">
        <w:rPr>
          <w:color w:val="000000" w:themeColor="text1"/>
        </w:rPr>
        <w:t xml:space="preserve">Any healthcare practitioner can use </w:t>
      </w:r>
      <w:r w:rsidR="0023406F" w:rsidRPr="0023406F">
        <w:rPr>
          <w:color w:val="000000" w:themeColor="text1"/>
        </w:rPr>
        <w:t xml:space="preserve">these guidelines </w:t>
      </w:r>
      <w:r w:rsidRPr="00B0545F">
        <w:rPr>
          <w:color w:val="000000" w:themeColor="text1"/>
        </w:rPr>
        <w:t xml:space="preserve">and adapt </w:t>
      </w:r>
      <w:r w:rsidR="0023406F">
        <w:rPr>
          <w:color w:val="000000" w:themeColor="text1"/>
        </w:rPr>
        <w:t>them</w:t>
      </w:r>
      <w:r w:rsidR="00FD1C52">
        <w:rPr>
          <w:color w:val="000000" w:themeColor="text1"/>
        </w:rPr>
        <w:t xml:space="preserve"> </w:t>
      </w:r>
      <w:r w:rsidRPr="00B0545F">
        <w:rPr>
          <w:color w:val="000000" w:themeColor="text1"/>
        </w:rPr>
        <w:t>for local use. Users should include clinical medical, nursing, and estates staff</w:t>
      </w:r>
      <w:r w:rsidR="00803C9C">
        <w:rPr>
          <w:color w:val="000000" w:themeColor="text1"/>
        </w:rPr>
        <w:t>.</w:t>
      </w:r>
      <w:r w:rsidRPr="00B0545F">
        <w:rPr>
          <w:color w:val="000000" w:themeColor="text1"/>
        </w:rPr>
        <w:t xml:space="preserve"> </w:t>
      </w:r>
      <w:r w:rsidR="00803C9C">
        <w:rPr>
          <w:color w:val="000000" w:themeColor="text1"/>
        </w:rPr>
        <w:t>H</w:t>
      </w:r>
      <w:r w:rsidRPr="00B0545F">
        <w:rPr>
          <w:color w:val="000000" w:themeColor="text1"/>
        </w:rPr>
        <w:t xml:space="preserve">ealthcare </w:t>
      </w:r>
      <w:r w:rsidR="00E2003E">
        <w:rPr>
          <w:color w:val="000000" w:themeColor="text1"/>
        </w:rPr>
        <w:t>IPC</w:t>
      </w:r>
      <w:r w:rsidRPr="00B0545F">
        <w:rPr>
          <w:color w:val="000000" w:themeColor="text1"/>
        </w:rPr>
        <w:t xml:space="preserve"> teams </w:t>
      </w:r>
      <w:r w:rsidR="00803C9C">
        <w:rPr>
          <w:color w:val="000000" w:themeColor="text1"/>
        </w:rPr>
        <w:t xml:space="preserve">should use these guidelines to develop local policies and to aid </w:t>
      </w:r>
      <w:r w:rsidRPr="00B0545F">
        <w:rPr>
          <w:color w:val="000000" w:themeColor="text1"/>
        </w:rPr>
        <w:t>their decision</w:t>
      </w:r>
      <w:r>
        <w:rPr>
          <w:color w:val="000000" w:themeColor="text1"/>
        </w:rPr>
        <w:t>-</w:t>
      </w:r>
      <w:r w:rsidRPr="00B0545F">
        <w:rPr>
          <w:color w:val="000000" w:themeColor="text1"/>
        </w:rPr>
        <w:t>making process</w:t>
      </w:r>
      <w:r w:rsidR="00803C9C">
        <w:rPr>
          <w:color w:val="000000" w:themeColor="text1"/>
        </w:rPr>
        <w:t xml:space="preserve"> during norovirus outbreaks</w:t>
      </w:r>
      <w:r w:rsidRPr="00B0545F">
        <w:rPr>
          <w:color w:val="000000" w:themeColor="text1"/>
        </w:rPr>
        <w:t>.</w:t>
      </w:r>
      <w:r w:rsidR="0023406F">
        <w:rPr>
          <w:color w:val="000000" w:themeColor="text1"/>
        </w:rPr>
        <w:t xml:space="preserve"> T</w:t>
      </w:r>
      <w:r w:rsidR="0023406F" w:rsidRPr="0023406F">
        <w:rPr>
          <w:color w:val="000000" w:themeColor="text1"/>
        </w:rPr>
        <w:t>he available reported studies</w:t>
      </w:r>
      <w:r w:rsidR="0023406F">
        <w:rPr>
          <w:color w:val="000000" w:themeColor="text1"/>
        </w:rPr>
        <w:t xml:space="preserve"> </w:t>
      </w:r>
      <w:r w:rsidR="0023406F" w:rsidRPr="0023406F">
        <w:rPr>
          <w:color w:val="000000" w:themeColor="text1"/>
        </w:rPr>
        <w:t>were predominantly conducted in hospital</w:t>
      </w:r>
      <w:r w:rsidR="0023406F">
        <w:rPr>
          <w:color w:val="000000" w:themeColor="text1"/>
        </w:rPr>
        <w:t xml:space="preserve"> and nursing home</w:t>
      </w:r>
      <w:r w:rsidR="0023406F" w:rsidRPr="0023406F">
        <w:rPr>
          <w:color w:val="000000" w:themeColor="text1"/>
        </w:rPr>
        <w:t xml:space="preserve"> settings. The Working Party believes that while</w:t>
      </w:r>
      <w:r w:rsidR="0023406F">
        <w:rPr>
          <w:color w:val="000000" w:themeColor="text1"/>
        </w:rPr>
        <w:t xml:space="preserve"> </w:t>
      </w:r>
      <w:r w:rsidR="0023406F" w:rsidRPr="0023406F">
        <w:rPr>
          <w:color w:val="000000" w:themeColor="text1"/>
        </w:rPr>
        <w:t>many sections of these guidelines are particularly relevant to</w:t>
      </w:r>
      <w:r w:rsidR="0023406F">
        <w:rPr>
          <w:color w:val="000000" w:themeColor="text1"/>
        </w:rPr>
        <w:t xml:space="preserve"> these facilities</w:t>
      </w:r>
      <w:r w:rsidR="0023406F" w:rsidRPr="0023406F">
        <w:rPr>
          <w:color w:val="000000" w:themeColor="text1"/>
        </w:rPr>
        <w:t>, some evidence and</w:t>
      </w:r>
      <w:r w:rsidR="0023406F">
        <w:rPr>
          <w:color w:val="000000" w:themeColor="text1"/>
        </w:rPr>
        <w:t xml:space="preserve"> r</w:t>
      </w:r>
      <w:r w:rsidR="0023406F" w:rsidRPr="0023406F">
        <w:rPr>
          <w:color w:val="000000" w:themeColor="text1"/>
        </w:rPr>
        <w:t xml:space="preserve">ecommendations can be extrapolated to other </w:t>
      </w:r>
      <w:r w:rsidR="0023406F">
        <w:rPr>
          <w:color w:val="000000" w:themeColor="text1"/>
        </w:rPr>
        <w:t>institutions</w:t>
      </w:r>
      <w:r w:rsidR="0023406F" w:rsidRPr="0023406F">
        <w:rPr>
          <w:color w:val="000000" w:themeColor="text1"/>
        </w:rPr>
        <w:t xml:space="preserve"> (e.g. the</w:t>
      </w:r>
      <w:r w:rsidR="0023406F">
        <w:rPr>
          <w:color w:val="000000" w:themeColor="text1"/>
        </w:rPr>
        <w:t xml:space="preserve"> </w:t>
      </w:r>
      <w:r w:rsidR="0023406F" w:rsidRPr="0023406F">
        <w:rPr>
          <w:color w:val="000000" w:themeColor="text1"/>
        </w:rPr>
        <w:t>sections on environment and equipment decontamination, use of personal protective</w:t>
      </w:r>
      <w:r w:rsidR="0023406F">
        <w:rPr>
          <w:color w:val="000000" w:themeColor="text1"/>
        </w:rPr>
        <w:t xml:space="preserve"> </w:t>
      </w:r>
      <w:r w:rsidR="0023406F" w:rsidRPr="0023406F">
        <w:rPr>
          <w:color w:val="000000" w:themeColor="text1"/>
        </w:rPr>
        <w:t xml:space="preserve">equipment (PPE), </w:t>
      </w:r>
      <w:r w:rsidR="0023406F">
        <w:rPr>
          <w:color w:val="000000" w:themeColor="text1"/>
        </w:rPr>
        <w:t>and the options for the management of infected individuals</w:t>
      </w:r>
      <w:r w:rsidR="0023406F" w:rsidRPr="0023406F">
        <w:rPr>
          <w:color w:val="000000" w:themeColor="text1"/>
        </w:rPr>
        <w:t>).</w:t>
      </w:r>
    </w:p>
    <w:p w14:paraId="0A6E1256" w14:textId="049F6674" w:rsidR="00AF08D5" w:rsidRPr="00555B31" w:rsidRDefault="004D288B" w:rsidP="00CF7116">
      <w:pPr>
        <w:pStyle w:val="Heading2"/>
        <w:spacing w:before="240" w:after="160" w:line="276" w:lineRule="auto"/>
      </w:pPr>
      <w:r>
        <w:t xml:space="preserve">5.8 </w:t>
      </w:r>
      <w:r w:rsidR="00AF08D5" w:rsidRPr="00555B31">
        <w:t xml:space="preserve">How </w:t>
      </w:r>
      <w:r w:rsidR="0023406F">
        <w:t>are</w:t>
      </w:r>
      <w:r w:rsidR="00AF08D5" w:rsidRPr="00555B31">
        <w:t xml:space="preserve"> </w:t>
      </w:r>
      <w:r w:rsidR="0023406F" w:rsidRPr="0023406F">
        <w:t xml:space="preserve">the guidelines </w:t>
      </w:r>
      <w:r w:rsidR="00AF08D5" w:rsidRPr="00555B31">
        <w:t xml:space="preserve">structured? </w:t>
      </w:r>
    </w:p>
    <w:p w14:paraId="3A80237D" w14:textId="35A29E02" w:rsidR="00834A73" w:rsidRDefault="0023406F" w:rsidP="00CF7116">
      <w:pPr>
        <w:spacing w:before="240" w:line="276" w:lineRule="auto"/>
        <w:jc w:val="both"/>
        <w:rPr>
          <w:color w:val="000000" w:themeColor="text1"/>
        </w:rPr>
      </w:pPr>
      <w:r>
        <w:rPr>
          <w:color w:val="000000" w:themeColor="text1"/>
        </w:rPr>
        <w:t xml:space="preserve">Each section comprises an introduction, a summary of evidence with levels (known as evidence statements), summary of Working Party’s discussions and the recommendations graded according to the available evidence. </w:t>
      </w:r>
    </w:p>
    <w:p w14:paraId="75680892" w14:textId="75CA8EC7" w:rsidR="00AF08D5" w:rsidRPr="00555B31" w:rsidRDefault="004D288B" w:rsidP="00CF7116">
      <w:pPr>
        <w:pStyle w:val="Heading2"/>
        <w:spacing w:before="240" w:after="160" w:line="276" w:lineRule="auto"/>
      </w:pPr>
      <w:r>
        <w:t xml:space="preserve">5.9 </w:t>
      </w:r>
      <w:r w:rsidR="00AF08D5" w:rsidRPr="00555B31">
        <w:t xml:space="preserve">How frequently </w:t>
      </w:r>
      <w:r w:rsidR="0023406F">
        <w:t>are the</w:t>
      </w:r>
      <w:r w:rsidR="0023406F" w:rsidRPr="0023406F">
        <w:t xml:space="preserve"> guidelines</w:t>
      </w:r>
      <w:r w:rsidR="00AF08D5" w:rsidRPr="00555B31">
        <w:t xml:space="preserve"> reviewed and updated? </w:t>
      </w:r>
    </w:p>
    <w:p w14:paraId="15F54159" w14:textId="0DD74F3B" w:rsidR="00B967C6" w:rsidRDefault="00B0545F" w:rsidP="00CF7116">
      <w:pPr>
        <w:spacing w:before="240" w:line="276" w:lineRule="auto"/>
        <w:jc w:val="both"/>
        <w:rPr>
          <w:color w:val="000000" w:themeColor="text1"/>
        </w:rPr>
      </w:pPr>
      <w:r w:rsidRPr="00B0545F">
        <w:rPr>
          <w:color w:val="000000" w:themeColor="text1"/>
        </w:rPr>
        <w:t xml:space="preserve">The guidelines will be reviewed at least every </w:t>
      </w:r>
      <w:r w:rsidR="006815BE">
        <w:rPr>
          <w:color w:val="000000" w:themeColor="text1"/>
        </w:rPr>
        <w:t>four (</w:t>
      </w:r>
      <w:r w:rsidRPr="00B0545F">
        <w:rPr>
          <w:color w:val="000000" w:themeColor="text1"/>
        </w:rPr>
        <w:t>4</w:t>
      </w:r>
      <w:r w:rsidR="006815BE">
        <w:rPr>
          <w:color w:val="000000" w:themeColor="text1"/>
        </w:rPr>
        <w:t>)</w:t>
      </w:r>
      <w:r w:rsidRPr="00B0545F">
        <w:rPr>
          <w:color w:val="000000" w:themeColor="text1"/>
        </w:rPr>
        <w:t xml:space="preserve"> years and updated if change(s) </w:t>
      </w:r>
      <w:r w:rsidR="0023406F">
        <w:rPr>
          <w:color w:val="000000" w:themeColor="text1"/>
        </w:rPr>
        <w:t xml:space="preserve">are necessary or if </w:t>
      </w:r>
      <w:r w:rsidRPr="00B0545F">
        <w:rPr>
          <w:color w:val="000000" w:themeColor="text1"/>
        </w:rPr>
        <w:t xml:space="preserve">the evidence </w:t>
      </w:r>
      <w:r w:rsidR="0023406F">
        <w:rPr>
          <w:color w:val="000000" w:themeColor="text1"/>
        </w:rPr>
        <w:t xml:space="preserve">emerges that </w:t>
      </w:r>
      <w:r w:rsidRPr="00B0545F">
        <w:rPr>
          <w:color w:val="000000" w:themeColor="text1"/>
        </w:rPr>
        <w:t>require</w:t>
      </w:r>
      <w:r w:rsidR="0023406F">
        <w:rPr>
          <w:color w:val="000000" w:themeColor="text1"/>
        </w:rPr>
        <w:t>s</w:t>
      </w:r>
      <w:r w:rsidRPr="00B0545F">
        <w:rPr>
          <w:color w:val="000000" w:themeColor="text1"/>
        </w:rPr>
        <w:t xml:space="preserve"> a change in practice.</w:t>
      </w:r>
    </w:p>
    <w:p w14:paraId="7CD89F89" w14:textId="78A68028" w:rsidR="00AF08D5" w:rsidRPr="00555B31" w:rsidRDefault="004D288B" w:rsidP="00CF7116">
      <w:pPr>
        <w:pStyle w:val="Heading2"/>
        <w:spacing w:before="240" w:after="160" w:line="276" w:lineRule="auto"/>
      </w:pPr>
      <w:r>
        <w:t>5.1</w:t>
      </w:r>
      <w:r w:rsidR="0023406F">
        <w:t>0</w:t>
      </w:r>
      <w:r>
        <w:t xml:space="preserve"> </w:t>
      </w:r>
      <w:r w:rsidR="00B967C6" w:rsidRPr="00555B31">
        <w:t xml:space="preserve">Aim </w:t>
      </w:r>
    </w:p>
    <w:p w14:paraId="29944F22" w14:textId="5AA99958" w:rsidR="00FB1E1E" w:rsidRDefault="00B967C6" w:rsidP="00CF7116">
      <w:pPr>
        <w:spacing w:before="240" w:line="276" w:lineRule="auto"/>
        <w:jc w:val="both"/>
        <w:rPr>
          <w:color w:val="000000" w:themeColor="text1"/>
        </w:rPr>
      </w:pPr>
      <w:r w:rsidRPr="008C3140">
        <w:rPr>
          <w:color w:val="000000" w:themeColor="text1"/>
        </w:rPr>
        <w:t>The</w:t>
      </w:r>
      <w:r w:rsidR="00B0545F" w:rsidRPr="00B0545F">
        <w:rPr>
          <w:color w:val="000000" w:themeColor="text1"/>
        </w:rPr>
        <w:t xml:space="preserve"> </w:t>
      </w:r>
      <w:r w:rsidR="0023406F">
        <w:rPr>
          <w:color w:val="000000" w:themeColor="text1"/>
        </w:rPr>
        <w:t xml:space="preserve">primary </w:t>
      </w:r>
      <w:r w:rsidR="00B0545F" w:rsidRPr="00B0545F">
        <w:rPr>
          <w:color w:val="000000" w:themeColor="text1"/>
        </w:rPr>
        <w:t xml:space="preserve">aim of </w:t>
      </w:r>
      <w:r w:rsidR="0023406F" w:rsidRPr="0023406F">
        <w:rPr>
          <w:color w:val="000000" w:themeColor="text1"/>
        </w:rPr>
        <w:t xml:space="preserve">these guidelines </w:t>
      </w:r>
      <w:r w:rsidR="00B0545F" w:rsidRPr="00B0545F">
        <w:rPr>
          <w:color w:val="000000" w:themeColor="text1"/>
        </w:rPr>
        <w:t xml:space="preserve">is to provide advice on </w:t>
      </w:r>
      <w:r w:rsidR="0023406F">
        <w:rPr>
          <w:color w:val="000000" w:themeColor="text1"/>
        </w:rPr>
        <w:t>all aspects relating to the IPC of norovirus</w:t>
      </w:r>
      <w:r w:rsidR="00B0545F" w:rsidRPr="00B0545F">
        <w:rPr>
          <w:color w:val="000000" w:themeColor="text1"/>
        </w:rPr>
        <w:t xml:space="preserve">. </w:t>
      </w:r>
      <w:r w:rsidR="0023406F">
        <w:rPr>
          <w:color w:val="000000" w:themeColor="text1"/>
        </w:rPr>
        <w:t xml:space="preserve">The secondary aim is to identify the areas in need of further research to inform future norovirus guidelines. </w:t>
      </w:r>
    </w:p>
    <w:p w14:paraId="2FEB47E1" w14:textId="66477C71" w:rsidR="0023406F" w:rsidRPr="0023406F" w:rsidRDefault="0023406F" w:rsidP="00CF7116">
      <w:pPr>
        <w:pStyle w:val="Heading1"/>
        <w:numPr>
          <w:ilvl w:val="0"/>
          <w:numId w:val="27"/>
        </w:numPr>
        <w:spacing w:after="160" w:line="276" w:lineRule="auto"/>
      </w:pPr>
      <w:r>
        <w:t>Implementation of these guidelines</w:t>
      </w:r>
    </w:p>
    <w:p w14:paraId="7F4468D5" w14:textId="622A87DC" w:rsidR="0023406F" w:rsidRPr="00B0545F" w:rsidRDefault="0023406F" w:rsidP="00CF7116">
      <w:pPr>
        <w:pStyle w:val="Heading2"/>
        <w:spacing w:before="240" w:after="160" w:line="276" w:lineRule="auto"/>
      </w:pPr>
      <w:r>
        <w:t xml:space="preserve">6.1 </w:t>
      </w:r>
      <w:r w:rsidRPr="00B0545F">
        <w:t xml:space="preserve">How can </w:t>
      </w:r>
      <w:r w:rsidRPr="0023406F">
        <w:t xml:space="preserve">these guidelines </w:t>
      </w:r>
      <w:r w:rsidRPr="00B0545F">
        <w:t xml:space="preserve">be used to improve clinical effectiveness? </w:t>
      </w:r>
    </w:p>
    <w:p w14:paraId="7E76B2AE" w14:textId="7D9B5368" w:rsidR="0023406F" w:rsidRPr="00B0545F" w:rsidRDefault="0023406F" w:rsidP="00CF7116">
      <w:pPr>
        <w:spacing w:before="240" w:line="276" w:lineRule="auto"/>
        <w:jc w:val="both"/>
        <w:rPr>
          <w:color w:val="000000" w:themeColor="text1"/>
        </w:rPr>
      </w:pPr>
      <w:r w:rsidRPr="00B0545F">
        <w:rPr>
          <w:color w:val="000000" w:themeColor="text1"/>
        </w:rPr>
        <w:t xml:space="preserve">The </w:t>
      </w:r>
      <w:r w:rsidRPr="0023406F">
        <w:rPr>
          <w:color w:val="000000" w:themeColor="text1"/>
        </w:rPr>
        <w:t>guidelines</w:t>
      </w:r>
      <w:r w:rsidRPr="00B0545F">
        <w:rPr>
          <w:color w:val="000000" w:themeColor="text1"/>
        </w:rPr>
        <w:t xml:space="preserve"> can be used to inform local </w:t>
      </w:r>
      <w:r>
        <w:rPr>
          <w:color w:val="000000" w:themeColor="text1"/>
        </w:rPr>
        <w:t>protocols for preventing norovirus transmission and managing patients infected with norovirus. They also</w:t>
      </w:r>
      <w:r w:rsidRPr="00B0545F">
        <w:rPr>
          <w:color w:val="000000" w:themeColor="text1"/>
        </w:rPr>
        <w:t xml:space="preserve"> provide a framework for </w:t>
      </w:r>
      <w:r>
        <w:rPr>
          <w:color w:val="000000" w:themeColor="text1"/>
        </w:rPr>
        <w:t>clinical audit</w:t>
      </w:r>
      <w:r w:rsidRPr="00B0545F">
        <w:rPr>
          <w:color w:val="000000" w:themeColor="text1"/>
        </w:rPr>
        <w:t xml:space="preserve"> </w:t>
      </w:r>
      <w:r>
        <w:rPr>
          <w:color w:val="000000" w:themeColor="text1"/>
        </w:rPr>
        <w:t>and</w:t>
      </w:r>
      <w:r w:rsidRPr="00B0545F">
        <w:rPr>
          <w:color w:val="000000" w:themeColor="text1"/>
        </w:rPr>
        <w:t xml:space="preserve"> quality improvement</w:t>
      </w:r>
      <w:r>
        <w:rPr>
          <w:color w:val="000000" w:themeColor="text1"/>
        </w:rPr>
        <w:t xml:space="preserve"> initiatives</w:t>
      </w:r>
      <w:r w:rsidRPr="00B0545F">
        <w:rPr>
          <w:color w:val="000000" w:themeColor="text1"/>
        </w:rPr>
        <w:t xml:space="preserve">. </w:t>
      </w:r>
      <w:r>
        <w:rPr>
          <w:color w:val="000000" w:themeColor="text1"/>
        </w:rPr>
        <w:t xml:space="preserve">In addition, future research priorities identified by these guidelines will allow researchers to refine their applications to funding bodies. </w:t>
      </w:r>
    </w:p>
    <w:p w14:paraId="2AB1AE6E" w14:textId="5E664CF7" w:rsidR="0023406F" w:rsidRPr="00B0545F" w:rsidRDefault="0023406F" w:rsidP="00CF7116">
      <w:pPr>
        <w:pStyle w:val="Heading2"/>
        <w:spacing w:before="240" w:after="160" w:line="276" w:lineRule="auto"/>
      </w:pPr>
      <w:r>
        <w:t xml:space="preserve">6.2 </w:t>
      </w:r>
      <w:r w:rsidRPr="00B0545F">
        <w:t xml:space="preserve">How much will implementation of </w:t>
      </w:r>
      <w:r w:rsidRPr="0023406F">
        <w:t xml:space="preserve">these guidelines </w:t>
      </w:r>
      <w:r w:rsidRPr="00B0545F">
        <w:t xml:space="preserve">cost? </w:t>
      </w:r>
    </w:p>
    <w:p w14:paraId="7D7D771E" w14:textId="3FA2B0D5" w:rsidR="0023406F" w:rsidRDefault="0023406F" w:rsidP="00CF7116">
      <w:pPr>
        <w:spacing w:before="240" w:line="276" w:lineRule="auto"/>
        <w:jc w:val="both"/>
        <w:rPr>
          <w:color w:val="000000" w:themeColor="text1"/>
        </w:rPr>
      </w:pPr>
      <w:r>
        <w:rPr>
          <w:color w:val="000000" w:themeColor="text1"/>
        </w:rPr>
        <w:t xml:space="preserve">It is anticipated that cost would be incurred by any facility affected by norovirus outbreaks, thus the recommendations set in this document aim to reduce the impact of these outbreaks by minimising </w:t>
      </w:r>
      <w:r>
        <w:rPr>
          <w:color w:val="000000" w:themeColor="text1"/>
        </w:rPr>
        <w:lastRenderedPageBreak/>
        <w:t>the number of individuals affected and reducing the duration of the outbreaks. The Working Party believes that while additional cost would be incurred during an outbreak, the f</w:t>
      </w:r>
      <w:r w:rsidRPr="00B0545F">
        <w:rPr>
          <w:color w:val="000000" w:themeColor="text1"/>
        </w:rPr>
        <w:t>ailure to implement the recommendations</w:t>
      </w:r>
      <w:r>
        <w:rPr>
          <w:color w:val="000000" w:themeColor="text1"/>
        </w:rPr>
        <w:t xml:space="preserve"> early</w:t>
      </w:r>
      <w:r w:rsidRPr="00B0545F">
        <w:rPr>
          <w:color w:val="000000" w:themeColor="text1"/>
        </w:rPr>
        <w:t xml:space="preserve"> would result in greater cost both in terms of economics and quality of life.</w:t>
      </w:r>
      <w:r w:rsidRPr="0023406F">
        <w:rPr>
          <w:color w:val="000000" w:themeColor="text1"/>
        </w:rPr>
        <w:t xml:space="preserve"> </w:t>
      </w:r>
      <w:r>
        <w:rPr>
          <w:color w:val="000000" w:themeColor="text1"/>
        </w:rPr>
        <w:t>For</w:t>
      </w:r>
      <w:r w:rsidRPr="00B0545F">
        <w:rPr>
          <w:color w:val="000000" w:themeColor="text1"/>
        </w:rPr>
        <w:t xml:space="preserve"> </w:t>
      </w:r>
      <w:r>
        <w:rPr>
          <w:color w:val="000000" w:themeColor="text1"/>
        </w:rPr>
        <w:t>the</w:t>
      </w:r>
      <w:r w:rsidRPr="00B0545F">
        <w:rPr>
          <w:color w:val="000000" w:themeColor="text1"/>
        </w:rPr>
        <w:t xml:space="preserve"> </w:t>
      </w:r>
      <w:r>
        <w:rPr>
          <w:color w:val="000000" w:themeColor="text1"/>
        </w:rPr>
        <w:t>topics</w:t>
      </w:r>
      <w:r w:rsidRPr="00B0545F">
        <w:rPr>
          <w:color w:val="000000" w:themeColor="text1"/>
        </w:rPr>
        <w:t xml:space="preserve"> </w:t>
      </w:r>
      <w:r>
        <w:rPr>
          <w:color w:val="000000" w:themeColor="text1"/>
        </w:rPr>
        <w:t xml:space="preserve">where recommendations aim to prevent the outbreaks from occurring, </w:t>
      </w:r>
      <w:r w:rsidRPr="00B0545F">
        <w:rPr>
          <w:color w:val="000000" w:themeColor="text1"/>
        </w:rPr>
        <w:t xml:space="preserve">there </w:t>
      </w:r>
      <w:r>
        <w:rPr>
          <w:color w:val="000000" w:themeColor="text1"/>
        </w:rPr>
        <w:t>is</w:t>
      </w:r>
      <w:r w:rsidRPr="00B0545F">
        <w:rPr>
          <w:color w:val="000000" w:themeColor="text1"/>
        </w:rPr>
        <w:t xml:space="preserve"> no anticipated additional cost unless existing practice falls below currently accepted </w:t>
      </w:r>
      <w:r>
        <w:rPr>
          <w:color w:val="000000" w:themeColor="text1"/>
        </w:rPr>
        <w:t>standard</w:t>
      </w:r>
      <w:r w:rsidRPr="00B0545F">
        <w:rPr>
          <w:color w:val="000000" w:themeColor="text1"/>
        </w:rPr>
        <w:t>.</w:t>
      </w:r>
    </w:p>
    <w:p w14:paraId="5F66A841" w14:textId="3B72EF1E" w:rsidR="0023406F" w:rsidRDefault="0023406F" w:rsidP="00CF7116">
      <w:pPr>
        <w:pStyle w:val="Heading2"/>
        <w:spacing w:before="240" w:after="160" w:line="276" w:lineRule="auto"/>
      </w:pPr>
      <w:r>
        <w:t>6.3 Summary of the audit measures</w:t>
      </w:r>
    </w:p>
    <w:p w14:paraId="434C3614" w14:textId="41FC8EF1" w:rsidR="0023406F" w:rsidRDefault="0023406F" w:rsidP="00CF7116">
      <w:pPr>
        <w:spacing w:before="240" w:line="276" w:lineRule="auto"/>
        <w:jc w:val="both"/>
        <w:rPr>
          <w:color w:val="000000" w:themeColor="text1"/>
        </w:rPr>
      </w:pPr>
      <w:r>
        <w:rPr>
          <w:color w:val="000000" w:themeColor="text1"/>
        </w:rPr>
        <w:t xml:space="preserve">Regular audit remains an important part of any guideline implementation. Audit is effective only when the results are </w:t>
      </w:r>
      <w:r w:rsidRPr="0023406F">
        <w:rPr>
          <w:color w:val="000000" w:themeColor="text1"/>
        </w:rPr>
        <w:t>fed back to staff and when there is a clear plan for the</w:t>
      </w:r>
      <w:r>
        <w:rPr>
          <w:color w:val="000000" w:themeColor="text1"/>
        </w:rPr>
        <w:t xml:space="preserve"> </w:t>
      </w:r>
      <w:r w:rsidRPr="0023406F">
        <w:rPr>
          <w:color w:val="000000" w:themeColor="text1"/>
        </w:rPr>
        <w:t>implementation.</w:t>
      </w:r>
      <w:r>
        <w:rPr>
          <w:color w:val="000000" w:themeColor="text1"/>
        </w:rPr>
        <w:t xml:space="preserve"> Many organisations </w:t>
      </w:r>
      <w:r w:rsidR="001E450D">
        <w:rPr>
          <w:color w:val="000000" w:themeColor="text1"/>
        </w:rPr>
        <w:t xml:space="preserve">have </w:t>
      </w:r>
      <w:r>
        <w:rPr>
          <w:color w:val="000000" w:themeColor="text1"/>
        </w:rPr>
        <w:t>already developed their local policies and audit measures, which may need to be updated following the publication of these new guidelines. The norovirus Working Party suggests th</w:t>
      </w:r>
      <w:r w:rsidR="001E450D">
        <w:rPr>
          <w:color w:val="000000" w:themeColor="text1"/>
        </w:rPr>
        <w:t>at</w:t>
      </w:r>
      <w:r>
        <w:rPr>
          <w:color w:val="000000" w:themeColor="text1"/>
        </w:rPr>
        <w:t xml:space="preserve"> following aspects </w:t>
      </w:r>
      <w:r w:rsidR="001E450D">
        <w:rPr>
          <w:color w:val="000000" w:themeColor="text1"/>
        </w:rPr>
        <w:t>should</w:t>
      </w:r>
      <w:r>
        <w:rPr>
          <w:color w:val="000000" w:themeColor="text1"/>
        </w:rPr>
        <w:t xml:space="preserve"> be audited</w:t>
      </w:r>
      <w:r w:rsidR="001E450D">
        <w:rPr>
          <w:color w:val="000000" w:themeColor="text1"/>
        </w:rPr>
        <w:t>:</w:t>
      </w:r>
    </w:p>
    <w:p w14:paraId="11048706" w14:textId="43984D4E" w:rsidR="001E450D" w:rsidRPr="005834C7" w:rsidRDefault="001E450D" w:rsidP="001E450D">
      <w:pPr>
        <w:pStyle w:val="ListParagraph"/>
        <w:numPr>
          <w:ilvl w:val="0"/>
          <w:numId w:val="47"/>
        </w:numPr>
        <w:spacing w:before="240" w:line="276" w:lineRule="auto"/>
        <w:jc w:val="both"/>
        <w:rPr>
          <w:color w:val="000000" w:themeColor="text1"/>
          <w:sz w:val="22"/>
          <w:szCs w:val="22"/>
        </w:rPr>
      </w:pPr>
      <w:r w:rsidRPr="005834C7">
        <w:rPr>
          <w:color w:val="000000" w:themeColor="text1"/>
          <w:sz w:val="22"/>
          <w:szCs w:val="22"/>
        </w:rPr>
        <w:t>Compliance with informing IPC team promptly if an outbreak is suspected.</w:t>
      </w:r>
    </w:p>
    <w:p w14:paraId="15D6EA80" w14:textId="44DA8067" w:rsidR="001E450D" w:rsidRPr="005834C7" w:rsidRDefault="001E450D" w:rsidP="001E450D">
      <w:pPr>
        <w:pStyle w:val="ListParagraph"/>
        <w:numPr>
          <w:ilvl w:val="0"/>
          <w:numId w:val="47"/>
        </w:numPr>
        <w:spacing w:before="240" w:line="276" w:lineRule="auto"/>
        <w:jc w:val="both"/>
        <w:rPr>
          <w:color w:val="000000" w:themeColor="text1"/>
          <w:sz w:val="22"/>
          <w:szCs w:val="22"/>
        </w:rPr>
      </w:pPr>
      <w:r w:rsidRPr="005834C7">
        <w:rPr>
          <w:color w:val="000000" w:themeColor="text1"/>
          <w:sz w:val="22"/>
          <w:szCs w:val="22"/>
        </w:rPr>
        <w:t>IPC practices (e.g. hand washing, appropriate PPE, appropriate environmental cleaning, decontamination of equipment).</w:t>
      </w:r>
    </w:p>
    <w:p w14:paraId="6852C89B" w14:textId="0D7CCBCF" w:rsidR="001E450D" w:rsidRPr="005834C7" w:rsidRDefault="001E450D" w:rsidP="001E450D">
      <w:pPr>
        <w:pStyle w:val="ListParagraph"/>
        <w:numPr>
          <w:ilvl w:val="0"/>
          <w:numId w:val="47"/>
        </w:numPr>
        <w:spacing w:before="240" w:line="276" w:lineRule="auto"/>
        <w:jc w:val="both"/>
        <w:rPr>
          <w:color w:val="000000" w:themeColor="text1"/>
          <w:sz w:val="22"/>
          <w:szCs w:val="22"/>
        </w:rPr>
      </w:pPr>
      <w:r w:rsidRPr="005834C7">
        <w:rPr>
          <w:color w:val="000000" w:themeColor="text1"/>
          <w:sz w:val="22"/>
          <w:szCs w:val="22"/>
        </w:rPr>
        <w:t>Compliance with the local and national guidelines for appropriate laundry handling.</w:t>
      </w:r>
    </w:p>
    <w:p w14:paraId="7AC67578" w14:textId="609D4410" w:rsidR="001E450D" w:rsidRPr="00556D11" w:rsidRDefault="001E450D" w:rsidP="00556D11">
      <w:pPr>
        <w:pStyle w:val="ListParagraph"/>
        <w:numPr>
          <w:ilvl w:val="0"/>
          <w:numId w:val="47"/>
        </w:numPr>
        <w:spacing w:before="240" w:line="276" w:lineRule="auto"/>
        <w:jc w:val="both"/>
        <w:rPr>
          <w:color w:val="000000" w:themeColor="text1"/>
          <w:sz w:val="22"/>
          <w:szCs w:val="22"/>
        </w:rPr>
      </w:pPr>
      <w:r w:rsidRPr="005834C7">
        <w:rPr>
          <w:color w:val="000000" w:themeColor="text1"/>
          <w:sz w:val="22"/>
          <w:szCs w:val="22"/>
        </w:rPr>
        <w:t>Compliance with informing the receiving unit/facility and the</w:t>
      </w:r>
      <w:r w:rsidR="00556D11" w:rsidRPr="00556D11">
        <w:rPr>
          <w:color w:val="000000" w:themeColor="text1"/>
        </w:rPr>
        <w:t xml:space="preserve"> ambulance/transport service that a patient is confirmed/suspected to be infected with norovirus.</w:t>
      </w:r>
    </w:p>
    <w:p w14:paraId="281FA1EE" w14:textId="76E1E5F4" w:rsidR="001E450D" w:rsidRPr="005834C7" w:rsidRDefault="001E450D" w:rsidP="001E450D">
      <w:pPr>
        <w:pStyle w:val="ListParagraph"/>
        <w:numPr>
          <w:ilvl w:val="0"/>
          <w:numId w:val="47"/>
        </w:numPr>
        <w:spacing w:before="240" w:line="276" w:lineRule="auto"/>
        <w:jc w:val="both"/>
        <w:rPr>
          <w:color w:val="000000" w:themeColor="text1"/>
          <w:sz w:val="22"/>
          <w:szCs w:val="22"/>
        </w:rPr>
      </w:pPr>
      <w:r w:rsidRPr="005834C7">
        <w:rPr>
          <w:color w:val="000000" w:themeColor="text1"/>
          <w:sz w:val="22"/>
          <w:szCs w:val="22"/>
        </w:rPr>
        <w:t xml:space="preserve">Compliance with case surveillance during the outbreak. </w:t>
      </w:r>
    </w:p>
    <w:p w14:paraId="32EDD3E0" w14:textId="0D820F27" w:rsidR="0023406F" w:rsidRDefault="0023406F" w:rsidP="00CF7116">
      <w:pPr>
        <w:pStyle w:val="Heading2"/>
        <w:numPr>
          <w:ilvl w:val="1"/>
          <w:numId w:val="31"/>
        </w:numPr>
        <w:spacing w:before="240" w:after="160" w:line="276" w:lineRule="auto"/>
      </w:pPr>
      <w:r>
        <w:t>Supplementary tools</w:t>
      </w:r>
    </w:p>
    <w:p w14:paraId="0DBF7F5E" w14:textId="1F275B0F" w:rsidR="0023406F" w:rsidRPr="0023406F" w:rsidRDefault="0023406F" w:rsidP="00CF7116">
      <w:pPr>
        <w:pStyle w:val="Heading1"/>
        <w:spacing w:after="160" w:line="276" w:lineRule="auto"/>
        <w:rPr>
          <w:rFonts w:asciiTheme="minorHAnsi" w:eastAsiaTheme="minorHAnsi" w:hAnsiTheme="minorHAnsi" w:cstheme="minorBidi"/>
          <w:color w:val="000000" w:themeColor="text1"/>
          <w:sz w:val="22"/>
          <w:szCs w:val="22"/>
        </w:rPr>
      </w:pPr>
      <w:r w:rsidRPr="0023406F">
        <w:rPr>
          <w:rFonts w:asciiTheme="minorHAnsi" w:eastAsiaTheme="minorHAnsi" w:hAnsiTheme="minorHAnsi" w:cstheme="minorBidi"/>
          <w:color w:val="000000" w:themeColor="text1"/>
          <w:sz w:val="22"/>
          <w:szCs w:val="22"/>
        </w:rPr>
        <w:t>Lay materials and continuing professional development questions (CPD) are available in the</w:t>
      </w:r>
      <w:r>
        <w:rPr>
          <w:rFonts w:asciiTheme="minorHAnsi" w:eastAsiaTheme="minorHAnsi" w:hAnsiTheme="minorHAnsi" w:cstheme="minorBidi"/>
          <w:color w:val="000000" w:themeColor="text1"/>
          <w:sz w:val="22"/>
          <w:szCs w:val="22"/>
        </w:rPr>
        <w:t xml:space="preserve"> </w:t>
      </w:r>
      <w:r w:rsidRPr="0023406F">
        <w:rPr>
          <w:rFonts w:asciiTheme="minorHAnsi" w:eastAsiaTheme="minorHAnsi" w:hAnsiTheme="minorHAnsi" w:cstheme="minorBidi"/>
          <w:color w:val="000000" w:themeColor="text1"/>
          <w:sz w:val="22"/>
          <w:szCs w:val="22"/>
        </w:rPr>
        <w:t xml:space="preserve">Supplementary Materials (files </w:t>
      </w:r>
      <w:r w:rsidR="00342D21">
        <w:rPr>
          <w:rFonts w:asciiTheme="minorHAnsi" w:eastAsiaTheme="minorHAnsi" w:hAnsiTheme="minorHAnsi" w:cstheme="minorBidi"/>
          <w:color w:val="000000" w:themeColor="text1"/>
          <w:sz w:val="22"/>
          <w:szCs w:val="22"/>
        </w:rPr>
        <w:t>D</w:t>
      </w:r>
      <w:r w:rsidRPr="0023406F">
        <w:rPr>
          <w:rFonts w:asciiTheme="minorHAnsi" w:eastAsiaTheme="minorHAnsi" w:hAnsiTheme="minorHAnsi" w:cstheme="minorBidi"/>
          <w:color w:val="000000" w:themeColor="text1"/>
          <w:sz w:val="22"/>
          <w:szCs w:val="22"/>
        </w:rPr>
        <w:t xml:space="preserve"> and </w:t>
      </w:r>
      <w:r w:rsidR="00342D21">
        <w:rPr>
          <w:rFonts w:asciiTheme="minorHAnsi" w:eastAsiaTheme="minorHAnsi" w:hAnsiTheme="minorHAnsi" w:cstheme="minorBidi"/>
          <w:color w:val="000000" w:themeColor="text1"/>
          <w:sz w:val="22"/>
          <w:szCs w:val="22"/>
        </w:rPr>
        <w:t>E</w:t>
      </w:r>
      <w:r w:rsidRPr="0023406F">
        <w:rPr>
          <w:rFonts w:asciiTheme="minorHAnsi" w:eastAsiaTheme="minorHAnsi" w:hAnsiTheme="minorHAnsi" w:cstheme="minorBidi"/>
          <w:color w:val="000000" w:themeColor="text1"/>
          <w:sz w:val="22"/>
          <w:szCs w:val="22"/>
        </w:rPr>
        <w:t xml:space="preserve">). </w:t>
      </w:r>
    </w:p>
    <w:p w14:paraId="39AC8678" w14:textId="1E9D25CA" w:rsidR="007244AD" w:rsidRPr="00555B31" w:rsidRDefault="007244AD" w:rsidP="00CF7116">
      <w:pPr>
        <w:pStyle w:val="Heading1"/>
        <w:numPr>
          <w:ilvl w:val="0"/>
          <w:numId w:val="27"/>
        </w:numPr>
        <w:spacing w:after="160" w:line="276" w:lineRule="auto"/>
      </w:pPr>
      <w:r w:rsidRPr="00555B31">
        <w:t>Method</w:t>
      </w:r>
      <w:r w:rsidR="00FB1E1E" w:rsidRPr="00555B31">
        <w:t>ology</w:t>
      </w:r>
    </w:p>
    <w:p w14:paraId="2AAF8F7F" w14:textId="0619A14E" w:rsidR="00C35226" w:rsidRPr="00555B31" w:rsidRDefault="0023406F" w:rsidP="00CF7116">
      <w:pPr>
        <w:pStyle w:val="Heading2"/>
        <w:spacing w:before="240" w:after="160" w:line="276" w:lineRule="auto"/>
      </w:pPr>
      <w:r>
        <w:t>7</w:t>
      </w:r>
      <w:r w:rsidR="004D288B">
        <w:t xml:space="preserve">.1 </w:t>
      </w:r>
      <w:r w:rsidR="00C35226" w:rsidRPr="00555B31">
        <w:t xml:space="preserve">Evidence </w:t>
      </w:r>
      <w:r w:rsidR="00363109">
        <w:t xml:space="preserve">search and </w:t>
      </w:r>
      <w:r w:rsidR="00C35226" w:rsidRPr="00555B31">
        <w:t>appraisal</w:t>
      </w:r>
    </w:p>
    <w:p w14:paraId="02C54A6D" w14:textId="14608B8F" w:rsidR="00C35226" w:rsidRPr="008C3140" w:rsidRDefault="00A74B51" w:rsidP="00CF7116">
      <w:pPr>
        <w:spacing w:before="240" w:line="276" w:lineRule="auto"/>
        <w:rPr>
          <w:b/>
        </w:rPr>
      </w:pPr>
      <w:r w:rsidRPr="00A74B51">
        <w:t xml:space="preserve">Topics for </w:t>
      </w:r>
      <w:r w:rsidR="0023406F" w:rsidRPr="0023406F">
        <w:t xml:space="preserve">these guidelines </w:t>
      </w:r>
      <w:r w:rsidRPr="00A74B51">
        <w:t>were derived from the</w:t>
      </w:r>
      <w:r w:rsidR="00FB2632">
        <w:t xml:space="preserve"> </w:t>
      </w:r>
      <w:r w:rsidR="00CA61F0">
        <w:t xml:space="preserve">initial discussions </w:t>
      </w:r>
      <w:r w:rsidR="00540459">
        <w:t>of the</w:t>
      </w:r>
      <w:r w:rsidR="00CA61F0">
        <w:t xml:space="preserve"> </w:t>
      </w:r>
      <w:r w:rsidR="00B0545F">
        <w:t>Working Party</w:t>
      </w:r>
      <w:r w:rsidR="0023406F">
        <w:t xml:space="preserve"> during the stakeholder meeting</w:t>
      </w:r>
      <w:r w:rsidR="00CA61F0">
        <w:t xml:space="preserve">. </w:t>
      </w:r>
      <w:r w:rsidRPr="00A74B51">
        <w:t xml:space="preserve">To prepare these recommendations, the </w:t>
      </w:r>
      <w:r w:rsidR="00AD48A0">
        <w:t xml:space="preserve">Working Party </w:t>
      </w:r>
      <w:r w:rsidRPr="00A74B51">
        <w:t xml:space="preserve">collectively reviewed relevant evidence from published </w:t>
      </w:r>
      <w:r w:rsidR="0023406F">
        <w:t>peer-reviewed literature</w:t>
      </w:r>
      <w:r w:rsidRPr="00A74B51">
        <w:t xml:space="preserve">. Methods were </w:t>
      </w:r>
      <w:r w:rsidR="00540459">
        <w:t xml:space="preserve">followed </w:t>
      </w:r>
      <w:r w:rsidRPr="00A74B51">
        <w:t xml:space="preserve">in accordance with </w:t>
      </w:r>
      <w:r w:rsidR="00540459">
        <w:t xml:space="preserve">the </w:t>
      </w:r>
      <w:r w:rsidRPr="00A74B51">
        <w:t xml:space="preserve">NICE manual for </w:t>
      </w:r>
      <w:r w:rsidR="00B0545F">
        <w:t>conducting evidence syntheses</w:t>
      </w:r>
      <w:r>
        <w:t>.</w:t>
      </w:r>
      <w:r w:rsidR="00AC0F9C">
        <w:rPr>
          <w:vertAlign w:val="superscript"/>
        </w:rPr>
        <w:t>9</w:t>
      </w:r>
      <w:r w:rsidR="00363109">
        <w:t xml:space="preserve"> </w:t>
      </w:r>
    </w:p>
    <w:p w14:paraId="65C4F569" w14:textId="64E7920E" w:rsidR="009C5B93" w:rsidRPr="00555B31" w:rsidRDefault="0023406F" w:rsidP="00CF7116">
      <w:pPr>
        <w:pStyle w:val="Heading2"/>
        <w:spacing w:before="240" w:after="160" w:line="276" w:lineRule="auto"/>
      </w:pPr>
      <w:r>
        <w:t>7</w:t>
      </w:r>
      <w:r w:rsidR="004D288B">
        <w:t xml:space="preserve">.2 </w:t>
      </w:r>
      <w:r w:rsidR="009C5B93" w:rsidRPr="00555B31">
        <w:t>Data sources and search strategy</w:t>
      </w:r>
    </w:p>
    <w:p w14:paraId="532051B5" w14:textId="3C203255" w:rsidR="009C5B93" w:rsidRPr="008C3140" w:rsidRDefault="0023406F" w:rsidP="00CF7116">
      <w:pPr>
        <w:spacing w:before="240" w:line="276" w:lineRule="auto"/>
        <w:jc w:val="both"/>
        <w:rPr>
          <w:b/>
          <w:color w:val="000000" w:themeColor="text1"/>
        </w:rPr>
      </w:pPr>
      <w:r>
        <w:rPr>
          <w:color w:val="000000" w:themeColor="text1"/>
        </w:rPr>
        <w:t>Three</w:t>
      </w:r>
      <w:r w:rsidR="00A74B51" w:rsidRPr="00A74B51">
        <w:rPr>
          <w:color w:val="000000" w:themeColor="text1"/>
        </w:rPr>
        <w:t xml:space="preserve"> electronic databases (Medline</w:t>
      </w:r>
      <w:r w:rsidR="00B0545F">
        <w:rPr>
          <w:color w:val="000000" w:themeColor="text1"/>
        </w:rPr>
        <w:t>,</w:t>
      </w:r>
      <w:r w:rsidR="00A74B51" w:rsidRPr="00A74B51">
        <w:rPr>
          <w:color w:val="000000" w:themeColor="text1"/>
        </w:rPr>
        <w:t xml:space="preserve"> E</w:t>
      </w:r>
      <w:r w:rsidR="00B0545F">
        <w:rPr>
          <w:color w:val="000000" w:themeColor="text1"/>
        </w:rPr>
        <w:t xml:space="preserve">mbase, </w:t>
      </w:r>
      <w:proofErr w:type="spellStart"/>
      <w:r>
        <w:rPr>
          <w:color w:val="000000" w:themeColor="text1"/>
        </w:rPr>
        <w:t>EMCare</w:t>
      </w:r>
      <w:proofErr w:type="spellEnd"/>
      <w:r w:rsidR="00A74B51" w:rsidRPr="00A74B51">
        <w:rPr>
          <w:color w:val="000000" w:themeColor="text1"/>
        </w:rPr>
        <w:t>) we</w:t>
      </w:r>
      <w:r w:rsidR="00E910F9">
        <w:rPr>
          <w:color w:val="000000" w:themeColor="text1"/>
        </w:rPr>
        <w:t>re</w:t>
      </w:r>
      <w:r w:rsidR="00A74B51" w:rsidRPr="00A74B51">
        <w:rPr>
          <w:color w:val="000000" w:themeColor="text1"/>
        </w:rPr>
        <w:t xml:space="preserve"> searched for articles published </w:t>
      </w:r>
      <w:r>
        <w:rPr>
          <w:color w:val="000000" w:themeColor="text1"/>
        </w:rPr>
        <w:t xml:space="preserve">until January 2022. Additionally, </w:t>
      </w:r>
      <w:r w:rsidR="001E450D">
        <w:rPr>
          <w:color w:val="000000" w:themeColor="text1"/>
        </w:rPr>
        <w:t xml:space="preserve">the </w:t>
      </w:r>
      <w:r w:rsidRPr="0023406F">
        <w:rPr>
          <w:color w:val="000000" w:themeColor="text1"/>
        </w:rPr>
        <w:t xml:space="preserve">Food Science </w:t>
      </w:r>
      <w:r>
        <w:rPr>
          <w:color w:val="000000" w:themeColor="text1"/>
        </w:rPr>
        <w:t>and</w:t>
      </w:r>
      <w:r w:rsidRPr="0023406F">
        <w:rPr>
          <w:color w:val="000000" w:themeColor="text1"/>
        </w:rPr>
        <w:t xml:space="preserve"> Technology Abstracts</w:t>
      </w:r>
      <w:r>
        <w:rPr>
          <w:color w:val="000000" w:themeColor="text1"/>
        </w:rPr>
        <w:t xml:space="preserve"> database was searched until February 2021 but since it revealed no additional evidence, the searches were not updated to 2022. S</w:t>
      </w:r>
      <w:r w:rsidR="00A74B51" w:rsidRPr="00A74B51">
        <w:rPr>
          <w:color w:val="000000" w:themeColor="text1"/>
        </w:rPr>
        <w:t>earch terms were constructed using relevant MeSH and free text terms</w:t>
      </w:r>
      <w:r w:rsidR="0035309D">
        <w:rPr>
          <w:color w:val="000000" w:themeColor="text1"/>
        </w:rPr>
        <w:t xml:space="preserve"> (</w:t>
      </w:r>
      <w:r w:rsidR="0035309D" w:rsidRPr="001B5B6D">
        <w:rPr>
          <w:color w:val="000000" w:themeColor="text1"/>
        </w:rPr>
        <w:t xml:space="preserve">Appendix </w:t>
      </w:r>
      <w:r w:rsidR="001B5B6D" w:rsidRPr="001B5B6D">
        <w:rPr>
          <w:color w:val="000000" w:themeColor="text1"/>
        </w:rPr>
        <w:t>1</w:t>
      </w:r>
      <w:r w:rsidR="0035309D">
        <w:rPr>
          <w:color w:val="000000" w:themeColor="text1"/>
        </w:rPr>
        <w:t>)</w:t>
      </w:r>
      <w:r w:rsidR="00A74B51" w:rsidRPr="00A74B51">
        <w:rPr>
          <w:color w:val="000000" w:themeColor="text1"/>
        </w:rPr>
        <w:t xml:space="preserve">. Reference lists of identified </w:t>
      </w:r>
      <w:r w:rsidR="00B0545F">
        <w:rPr>
          <w:color w:val="000000" w:themeColor="text1"/>
        </w:rPr>
        <w:t>articles</w:t>
      </w:r>
      <w:r w:rsidR="00A74B51" w:rsidRPr="00A74B51">
        <w:rPr>
          <w:color w:val="000000" w:themeColor="text1"/>
        </w:rPr>
        <w:t xml:space="preserve"> were scanned for additional studies</w:t>
      </w:r>
      <w:r w:rsidR="00B0545F">
        <w:rPr>
          <w:color w:val="000000" w:themeColor="text1"/>
        </w:rPr>
        <w:t xml:space="preserve"> and forward reference searching (identifying articles which cite relevant articles) was performed</w:t>
      </w:r>
      <w:r w:rsidR="00A74B51" w:rsidRPr="00A74B51">
        <w:rPr>
          <w:color w:val="000000" w:themeColor="text1"/>
        </w:rPr>
        <w:t xml:space="preserve">. The searches were restricted to </w:t>
      </w:r>
      <w:r w:rsidR="00B0545F">
        <w:rPr>
          <w:color w:val="000000" w:themeColor="text1"/>
        </w:rPr>
        <w:t xml:space="preserve">primary articles published in </w:t>
      </w:r>
      <w:r w:rsidR="00834A73">
        <w:rPr>
          <w:color w:val="000000" w:themeColor="text1"/>
        </w:rPr>
        <w:t xml:space="preserve">the </w:t>
      </w:r>
      <w:r w:rsidR="00B0545F">
        <w:rPr>
          <w:color w:val="000000" w:themeColor="text1"/>
        </w:rPr>
        <w:t>English language</w:t>
      </w:r>
      <w:r w:rsidR="00A74B51" w:rsidRPr="00A74B51">
        <w:rPr>
          <w:color w:val="000000" w:themeColor="text1"/>
        </w:rPr>
        <w:t xml:space="preserve">. </w:t>
      </w:r>
    </w:p>
    <w:p w14:paraId="19EB5F41" w14:textId="47C6AF04" w:rsidR="009C5B93" w:rsidRPr="00555B31" w:rsidRDefault="0023406F" w:rsidP="00CF7116">
      <w:pPr>
        <w:pStyle w:val="Heading2"/>
        <w:spacing w:before="240" w:after="160" w:line="276" w:lineRule="auto"/>
      </w:pPr>
      <w:r>
        <w:lastRenderedPageBreak/>
        <w:t>7</w:t>
      </w:r>
      <w:r w:rsidR="004D288B">
        <w:t xml:space="preserve">.3 </w:t>
      </w:r>
      <w:r w:rsidR="009C5B93" w:rsidRPr="00555B31">
        <w:t>Study eligibility and selection criteria</w:t>
      </w:r>
    </w:p>
    <w:p w14:paraId="46D9C8EF" w14:textId="5A93807B" w:rsidR="009C5B93" w:rsidRPr="00027678" w:rsidRDefault="0023406F" w:rsidP="00CF7116">
      <w:pPr>
        <w:spacing w:before="240" w:line="276" w:lineRule="auto"/>
        <w:jc w:val="both"/>
        <w:rPr>
          <w:color w:val="000000" w:themeColor="text1"/>
        </w:rPr>
      </w:pPr>
      <w:r w:rsidRPr="0023406F">
        <w:rPr>
          <w:color w:val="000000" w:themeColor="text1"/>
        </w:rPr>
        <w:t xml:space="preserve">Search results were downloaded to </w:t>
      </w:r>
      <w:r w:rsidR="001E450D">
        <w:rPr>
          <w:color w:val="000000" w:themeColor="text1"/>
        </w:rPr>
        <w:t xml:space="preserve">an </w:t>
      </w:r>
      <w:r w:rsidRPr="0023406F">
        <w:rPr>
          <w:color w:val="000000" w:themeColor="text1"/>
        </w:rPr>
        <w:t xml:space="preserve">Endnote database and screened for relevance. </w:t>
      </w:r>
      <w:r>
        <w:rPr>
          <w:color w:val="000000" w:themeColor="text1"/>
        </w:rPr>
        <w:t>One of t</w:t>
      </w:r>
      <w:r w:rsidRPr="0023406F">
        <w:rPr>
          <w:color w:val="000000" w:themeColor="text1"/>
        </w:rPr>
        <w:t>wo</w:t>
      </w:r>
      <w:r>
        <w:rPr>
          <w:color w:val="000000" w:themeColor="text1"/>
        </w:rPr>
        <w:t xml:space="preserve"> </w:t>
      </w:r>
      <w:r w:rsidRPr="0023406F">
        <w:rPr>
          <w:color w:val="000000" w:themeColor="text1"/>
        </w:rPr>
        <w:t>reviewers (AB, GM) reviewed the title</w:t>
      </w:r>
      <w:r>
        <w:rPr>
          <w:color w:val="000000" w:themeColor="text1"/>
        </w:rPr>
        <w:t>s,</w:t>
      </w:r>
      <w:r w:rsidRPr="0023406F">
        <w:rPr>
          <w:color w:val="000000" w:themeColor="text1"/>
        </w:rPr>
        <w:t xml:space="preserve"> abstracts</w:t>
      </w:r>
      <w:r>
        <w:rPr>
          <w:color w:val="000000" w:themeColor="text1"/>
        </w:rPr>
        <w:t xml:space="preserve"> and full text papers. As per NICE methodology, the second reviewer checked 5% of the excluded studies for discrepancies. If d</w:t>
      </w:r>
      <w:r w:rsidRPr="0023406F">
        <w:rPr>
          <w:color w:val="000000" w:themeColor="text1"/>
        </w:rPr>
        <w:t>is</w:t>
      </w:r>
      <w:r>
        <w:rPr>
          <w:color w:val="000000" w:themeColor="text1"/>
        </w:rPr>
        <w:t>crepancies</w:t>
      </w:r>
      <w:r w:rsidRPr="0023406F">
        <w:rPr>
          <w:color w:val="000000" w:themeColor="text1"/>
        </w:rPr>
        <w:t xml:space="preserve"> were </w:t>
      </w:r>
      <w:r>
        <w:rPr>
          <w:color w:val="000000" w:themeColor="text1"/>
        </w:rPr>
        <w:t xml:space="preserve">found, the second reviewer checked all excluded records. Any discrepancies were </w:t>
      </w:r>
      <w:r w:rsidRPr="0023406F">
        <w:rPr>
          <w:color w:val="000000" w:themeColor="text1"/>
        </w:rPr>
        <w:t>addressed by a third reviewer</w:t>
      </w:r>
      <w:r>
        <w:rPr>
          <w:color w:val="000000" w:themeColor="text1"/>
        </w:rPr>
        <w:t xml:space="preserve"> (chair)</w:t>
      </w:r>
      <w:r w:rsidRPr="0023406F">
        <w:rPr>
          <w:color w:val="000000" w:themeColor="text1"/>
        </w:rPr>
        <w:t>. The guidelines included any controlled trials, cohort studies, interrupted time</w:t>
      </w:r>
      <w:r>
        <w:rPr>
          <w:color w:val="000000" w:themeColor="text1"/>
        </w:rPr>
        <w:t xml:space="preserve"> </w:t>
      </w:r>
      <w:r w:rsidRPr="0023406F">
        <w:rPr>
          <w:color w:val="000000" w:themeColor="text1"/>
        </w:rPr>
        <w:t xml:space="preserve">series (ITS) studies, case-control studies, </w:t>
      </w:r>
      <w:r>
        <w:rPr>
          <w:color w:val="000000" w:themeColor="text1"/>
        </w:rPr>
        <w:t xml:space="preserve">cross-sectional studies, </w:t>
      </w:r>
      <w:r w:rsidRPr="0023406F">
        <w:rPr>
          <w:color w:val="000000" w:themeColor="text1"/>
        </w:rPr>
        <w:t>diagnostic accuracy studies (DAS) and controlled</w:t>
      </w:r>
      <w:r>
        <w:rPr>
          <w:color w:val="000000" w:themeColor="text1"/>
        </w:rPr>
        <w:t xml:space="preserve">/uncontrolled </w:t>
      </w:r>
      <w:r w:rsidRPr="0023406F">
        <w:rPr>
          <w:color w:val="000000" w:themeColor="text1"/>
        </w:rPr>
        <w:t>before/after (CBA</w:t>
      </w:r>
      <w:r>
        <w:rPr>
          <w:color w:val="000000" w:themeColor="text1"/>
        </w:rPr>
        <w:t>/UBA</w:t>
      </w:r>
      <w:r w:rsidRPr="0023406F">
        <w:rPr>
          <w:color w:val="000000" w:themeColor="text1"/>
        </w:rPr>
        <w:t xml:space="preserve">) studies. Due to the limited </w:t>
      </w:r>
      <w:r>
        <w:rPr>
          <w:color w:val="000000" w:themeColor="text1"/>
        </w:rPr>
        <w:t>evidence</w:t>
      </w:r>
      <w:r w:rsidRPr="0023406F">
        <w:rPr>
          <w:color w:val="000000" w:themeColor="text1"/>
        </w:rPr>
        <w:t xml:space="preserve"> available, </w:t>
      </w:r>
      <w:r>
        <w:rPr>
          <w:color w:val="000000" w:themeColor="text1"/>
        </w:rPr>
        <w:t>outbreak</w:t>
      </w:r>
      <w:r w:rsidRPr="0023406F">
        <w:rPr>
          <w:color w:val="000000" w:themeColor="text1"/>
        </w:rPr>
        <w:t xml:space="preserve"> studies were</w:t>
      </w:r>
      <w:r>
        <w:rPr>
          <w:color w:val="000000" w:themeColor="text1"/>
        </w:rPr>
        <w:t xml:space="preserve"> </w:t>
      </w:r>
      <w:r w:rsidRPr="0023406F">
        <w:rPr>
          <w:color w:val="000000" w:themeColor="text1"/>
        </w:rPr>
        <w:t>included</w:t>
      </w:r>
      <w:r>
        <w:rPr>
          <w:color w:val="000000" w:themeColor="text1"/>
        </w:rPr>
        <w:t>. For the data on the efficacy of disinfecting and sanitising agents, laboratory studies were als</w:t>
      </w:r>
      <w:r w:rsidR="00AC0F9C">
        <w:rPr>
          <w:color w:val="000000" w:themeColor="text1"/>
        </w:rPr>
        <w:t>o</w:t>
      </w:r>
      <w:r>
        <w:rPr>
          <w:color w:val="000000" w:themeColor="text1"/>
        </w:rPr>
        <w:t xml:space="preserve"> included. For the question about environmental sampling, environmental surveys were used. Where evidence was lacking, </w:t>
      </w:r>
      <w:r w:rsidRPr="0023406F">
        <w:rPr>
          <w:color w:val="000000" w:themeColor="text1"/>
        </w:rPr>
        <w:t>excluded studies</w:t>
      </w:r>
      <w:r>
        <w:rPr>
          <w:color w:val="000000" w:themeColor="text1"/>
        </w:rPr>
        <w:t xml:space="preserve"> </w:t>
      </w:r>
      <w:r w:rsidRPr="0023406F">
        <w:rPr>
          <w:color w:val="000000" w:themeColor="text1"/>
        </w:rPr>
        <w:t xml:space="preserve">which provided additional </w:t>
      </w:r>
      <w:r>
        <w:rPr>
          <w:color w:val="000000" w:themeColor="text1"/>
        </w:rPr>
        <w:t>information</w:t>
      </w:r>
      <w:r w:rsidRPr="0023406F">
        <w:rPr>
          <w:color w:val="000000" w:themeColor="text1"/>
        </w:rPr>
        <w:t xml:space="preserve"> were </w:t>
      </w:r>
      <w:r>
        <w:rPr>
          <w:color w:val="000000" w:themeColor="text1"/>
        </w:rPr>
        <w:t xml:space="preserve">also described in some sections with the limitations of using this information clearly highlighted. </w:t>
      </w:r>
      <w:r w:rsidR="009C4C67">
        <w:rPr>
          <w:color w:val="000000" w:themeColor="text1"/>
        </w:rPr>
        <w:t xml:space="preserve">Results of study selection and the list of excluded studies are available in Appendix 2. </w:t>
      </w:r>
    </w:p>
    <w:p w14:paraId="2BFE48C6" w14:textId="0B9DC1A2" w:rsidR="009C5B93" w:rsidRPr="00555B31" w:rsidRDefault="0023406F" w:rsidP="00CF7116">
      <w:pPr>
        <w:pStyle w:val="Heading2"/>
        <w:spacing w:before="240" w:after="160" w:line="276" w:lineRule="auto"/>
      </w:pPr>
      <w:r>
        <w:t>7</w:t>
      </w:r>
      <w:r w:rsidR="004D288B">
        <w:t xml:space="preserve">.4 </w:t>
      </w:r>
      <w:r w:rsidR="009C5B93" w:rsidRPr="00555B31">
        <w:t>Data extraction and quality assessment</w:t>
      </w:r>
    </w:p>
    <w:p w14:paraId="06D44237" w14:textId="4918F1C1" w:rsidR="0023406F" w:rsidRDefault="00A74B51" w:rsidP="00CF7116">
      <w:pPr>
        <w:spacing w:before="240" w:line="276" w:lineRule="auto"/>
        <w:jc w:val="both"/>
        <w:rPr>
          <w:color w:val="000000" w:themeColor="text1"/>
        </w:rPr>
      </w:pPr>
      <w:r w:rsidRPr="00A74B51">
        <w:rPr>
          <w:color w:val="000000" w:themeColor="text1"/>
        </w:rPr>
        <w:t xml:space="preserve">Included </w:t>
      </w:r>
      <w:r w:rsidR="00FB2632">
        <w:rPr>
          <w:color w:val="000000" w:themeColor="text1"/>
        </w:rPr>
        <w:t xml:space="preserve">epidemiological </w:t>
      </w:r>
      <w:r w:rsidRPr="00A74B51">
        <w:rPr>
          <w:color w:val="000000" w:themeColor="text1"/>
        </w:rPr>
        <w:t xml:space="preserve">studies were appraised for quality using </w:t>
      </w:r>
      <w:r w:rsidR="004A64D1">
        <w:rPr>
          <w:color w:val="000000" w:themeColor="text1"/>
        </w:rPr>
        <w:t>checklists</w:t>
      </w:r>
      <w:r w:rsidRPr="00A74B51">
        <w:rPr>
          <w:color w:val="000000" w:themeColor="text1"/>
        </w:rPr>
        <w:t xml:space="preserve"> recommended in the NICE guideline development manual.</w:t>
      </w:r>
      <w:r w:rsidR="00AC0F9C" w:rsidRPr="00AC0F9C">
        <w:rPr>
          <w:color w:val="000000" w:themeColor="text1"/>
          <w:vertAlign w:val="superscript"/>
        </w:rPr>
        <w:t>9</w:t>
      </w:r>
      <w:r w:rsidRPr="00A74B51">
        <w:rPr>
          <w:color w:val="000000" w:themeColor="text1"/>
        </w:rPr>
        <w:t xml:space="preserve"> </w:t>
      </w:r>
      <w:r w:rsidR="0023406F">
        <w:rPr>
          <w:color w:val="000000" w:themeColor="text1"/>
        </w:rPr>
        <w:t>The quality checklists included:</w:t>
      </w:r>
    </w:p>
    <w:p w14:paraId="610DDFBD" w14:textId="47A8144E" w:rsidR="0023406F" w:rsidRDefault="0023406F" w:rsidP="00CF7116">
      <w:pPr>
        <w:pStyle w:val="ListParagraph"/>
        <w:numPr>
          <w:ilvl w:val="0"/>
          <w:numId w:val="32"/>
        </w:numPr>
        <w:spacing w:before="240" w:after="160" w:line="276" w:lineRule="auto"/>
        <w:jc w:val="both"/>
        <w:rPr>
          <w:color w:val="000000" w:themeColor="text1"/>
          <w:sz w:val="22"/>
          <w:szCs w:val="22"/>
        </w:rPr>
      </w:pPr>
      <w:r>
        <w:rPr>
          <w:color w:val="000000" w:themeColor="text1"/>
          <w:sz w:val="22"/>
          <w:szCs w:val="22"/>
        </w:rPr>
        <w:t xml:space="preserve">Randomised </w:t>
      </w:r>
      <w:r w:rsidRPr="0023406F">
        <w:rPr>
          <w:color w:val="000000" w:themeColor="text1"/>
          <w:sz w:val="22"/>
          <w:szCs w:val="22"/>
        </w:rPr>
        <w:t>Controlled trials</w:t>
      </w:r>
      <w:r>
        <w:rPr>
          <w:color w:val="000000" w:themeColor="text1"/>
          <w:sz w:val="22"/>
          <w:szCs w:val="22"/>
        </w:rPr>
        <w:t xml:space="preserve"> (RCT): RoB_2.0 for RCT</w:t>
      </w:r>
    </w:p>
    <w:p w14:paraId="77C4C723" w14:textId="673D5D7C" w:rsidR="0023406F" w:rsidRDefault="0023406F" w:rsidP="00CF7116">
      <w:pPr>
        <w:pStyle w:val="ListParagraph"/>
        <w:numPr>
          <w:ilvl w:val="0"/>
          <w:numId w:val="32"/>
        </w:numPr>
        <w:spacing w:before="240" w:after="160" w:line="276" w:lineRule="auto"/>
        <w:jc w:val="both"/>
        <w:rPr>
          <w:color w:val="000000" w:themeColor="text1"/>
          <w:sz w:val="22"/>
          <w:szCs w:val="22"/>
        </w:rPr>
      </w:pPr>
      <w:r>
        <w:rPr>
          <w:color w:val="000000" w:themeColor="text1"/>
          <w:sz w:val="22"/>
          <w:szCs w:val="22"/>
        </w:rPr>
        <w:t>non-Randomised Controlled Trials (n-RCT): ROBINS for non RCTs and cohort studies</w:t>
      </w:r>
    </w:p>
    <w:p w14:paraId="5B709499" w14:textId="0EB239B6" w:rsidR="0023406F" w:rsidRDefault="0023406F" w:rsidP="00CF7116">
      <w:pPr>
        <w:pStyle w:val="ListParagraph"/>
        <w:numPr>
          <w:ilvl w:val="0"/>
          <w:numId w:val="32"/>
        </w:numPr>
        <w:spacing w:before="240" w:after="160" w:line="276" w:lineRule="auto"/>
        <w:jc w:val="both"/>
        <w:rPr>
          <w:color w:val="000000" w:themeColor="text1"/>
          <w:sz w:val="22"/>
          <w:szCs w:val="22"/>
        </w:rPr>
      </w:pPr>
      <w:r>
        <w:rPr>
          <w:color w:val="000000" w:themeColor="text1"/>
          <w:sz w:val="22"/>
          <w:szCs w:val="22"/>
        </w:rPr>
        <w:t>Cohort studies: ROBINS for non RCTs and cohort studies</w:t>
      </w:r>
    </w:p>
    <w:p w14:paraId="555B5F32" w14:textId="793253F8" w:rsidR="0023406F" w:rsidRDefault="0023406F" w:rsidP="00CF7116">
      <w:pPr>
        <w:pStyle w:val="ListParagraph"/>
        <w:numPr>
          <w:ilvl w:val="0"/>
          <w:numId w:val="32"/>
        </w:numPr>
        <w:spacing w:before="240" w:after="160" w:line="276" w:lineRule="auto"/>
        <w:jc w:val="both"/>
        <w:rPr>
          <w:color w:val="000000" w:themeColor="text1"/>
          <w:sz w:val="22"/>
          <w:szCs w:val="22"/>
        </w:rPr>
      </w:pPr>
      <w:r>
        <w:rPr>
          <w:color w:val="000000" w:themeColor="text1"/>
          <w:sz w:val="22"/>
          <w:szCs w:val="22"/>
        </w:rPr>
        <w:t xml:space="preserve">Interrupted time series (ITS): EPOC </w:t>
      </w:r>
      <w:proofErr w:type="spellStart"/>
      <w:r>
        <w:rPr>
          <w:color w:val="000000" w:themeColor="text1"/>
          <w:sz w:val="22"/>
          <w:szCs w:val="22"/>
        </w:rPr>
        <w:t>RoB</w:t>
      </w:r>
      <w:proofErr w:type="spellEnd"/>
      <w:r>
        <w:rPr>
          <w:color w:val="000000" w:themeColor="text1"/>
          <w:sz w:val="22"/>
          <w:szCs w:val="22"/>
        </w:rPr>
        <w:t xml:space="preserve"> for ITS and before-after studies</w:t>
      </w:r>
    </w:p>
    <w:p w14:paraId="077E8ADD" w14:textId="3C641130" w:rsidR="0023406F" w:rsidRDefault="0023406F" w:rsidP="00CF7116">
      <w:pPr>
        <w:pStyle w:val="ListParagraph"/>
        <w:numPr>
          <w:ilvl w:val="0"/>
          <w:numId w:val="32"/>
        </w:numPr>
        <w:spacing w:before="240" w:after="160" w:line="276" w:lineRule="auto"/>
        <w:jc w:val="both"/>
        <w:rPr>
          <w:color w:val="000000" w:themeColor="text1"/>
          <w:sz w:val="22"/>
          <w:szCs w:val="22"/>
        </w:rPr>
      </w:pPr>
      <w:r>
        <w:rPr>
          <w:color w:val="000000" w:themeColor="text1"/>
          <w:sz w:val="22"/>
          <w:szCs w:val="22"/>
        </w:rPr>
        <w:t>Case control studies: CASP for case control studies</w:t>
      </w:r>
    </w:p>
    <w:p w14:paraId="36ACB3A9" w14:textId="32AD433B" w:rsidR="0023406F" w:rsidRDefault="0023406F" w:rsidP="00CF7116">
      <w:pPr>
        <w:pStyle w:val="ListParagraph"/>
        <w:numPr>
          <w:ilvl w:val="0"/>
          <w:numId w:val="32"/>
        </w:numPr>
        <w:spacing w:before="240" w:after="160" w:line="276" w:lineRule="auto"/>
        <w:jc w:val="both"/>
        <w:rPr>
          <w:color w:val="000000" w:themeColor="text1"/>
          <w:sz w:val="22"/>
          <w:szCs w:val="22"/>
        </w:rPr>
      </w:pPr>
      <w:r>
        <w:rPr>
          <w:color w:val="000000" w:themeColor="text1"/>
          <w:sz w:val="22"/>
          <w:szCs w:val="22"/>
        </w:rPr>
        <w:t>Cross-sectional studies: JBI checklist for analytical cross-sectional studies</w:t>
      </w:r>
    </w:p>
    <w:p w14:paraId="4FA121B4" w14:textId="7B858445" w:rsidR="0023406F" w:rsidRDefault="0023406F" w:rsidP="00CF7116">
      <w:pPr>
        <w:pStyle w:val="ListParagraph"/>
        <w:numPr>
          <w:ilvl w:val="0"/>
          <w:numId w:val="32"/>
        </w:numPr>
        <w:spacing w:before="240" w:after="160" w:line="276" w:lineRule="auto"/>
        <w:jc w:val="both"/>
        <w:rPr>
          <w:color w:val="000000" w:themeColor="text1"/>
          <w:sz w:val="22"/>
          <w:szCs w:val="22"/>
        </w:rPr>
      </w:pPr>
      <w:r>
        <w:rPr>
          <w:color w:val="000000" w:themeColor="text1"/>
          <w:sz w:val="22"/>
          <w:szCs w:val="22"/>
        </w:rPr>
        <w:t xml:space="preserve">Uncontrolled before/after studies: EPOC </w:t>
      </w:r>
      <w:proofErr w:type="spellStart"/>
      <w:r>
        <w:rPr>
          <w:color w:val="000000" w:themeColor="text1"/>
          <w:sz w:val="22"/>
          <w:szCs w:val="22"/>
        </w:rPr>
        <w:t>RoB</w:t>
      </w:r>
      <w:proofErr w:type="spellEnd"/>
      <w:r>
        <w:rPr>
          <w:color w:val="000000" w:themeColor="text1"/>
          <w:sz w:val="22"/>
          <w:szCs w:val="22"/>
        </w:rPr>
        <w:t xml:space="preserve"> for ITS and before-after studies</w:t>
      </w:r>
    </w:p>
    <w:p w14:paraId="3392668A" w14:textId="45411D0C" w:rsidR="0023406F" w:rsidRDefault="0023406F" w:rsidP="00CF7116">
      <w:pPr>
        <w:pStyle w:val="ListParagraph"/>
        <w:numPr>
          <w:ilvl w:val="0"/>
          <w:numId w:val="32"/>
        </w:numPr>
        <w:spacing w:before="240" w:after="160" w:line="276" w:lineRule="auto"/>
        <w:jc w:val="both"/>
        <w:rPr>
          <w:color w:val="000000" w:themeColor="text1"/>
          <w:sz w:val="22"/>
          <w:szCs w:val="22"/>
        </w:rPr>
      </w:pPr>
      <w:r>
        <w:rPr>
          <w:color w:val="000000" w:themeColor="text1"/>
          <w:sz w:val="22"/>
          <w:szCs w:val="22"/>
        </w:rPr>
        <w:t>Diagnostic accuracy studies (DAS): QUADAS-2 for diagnostic accuracy studies</w:t>
      </w:r>
    </w:p>
    <w:p w14:paraId="56F268B1" w14:textId="5E3BF73A" w:rsidR="0023406F" w:rsidRPr="0023406F" w:rsidRDefault="0023406F" w:rsidP="00CF7116">
      <w:pPr>
        <w:pStyle w:val="ListParagraph"/>
        <w:numPr>
          <w:ilvl w:val="0"/>
          <w:numId w:val="32"/>
        </w:numPr>
        <w:spacing w:before="240" w:after="160" w:line="276" w:lineRule="auto"/>
        <w:jc w:val="both"/>
        <w:rPr>
          <w:color w:val="000000" w:themeColor="text1"/>
          <w:sz w:val="22"/>
          <w:szCs w:val="22"/>
        </w:rPr>
      </w:pPr>
      <w:r>
        <w:rPr>
          <w:color w:val="000000" w:themeColor="text1"/>
          <w:sz w:val="22"/>
          <w:szCs w:val="22"/>
        </w:rPr>
        <w:t xml:space="preserve">Outbreak studies, case series and case studies: </w:t>
      </w:r>
      <w:r w:rsidRPr="0023406F">
        <w:rPr>
          <w:color w:val="000000" w:themeColor="text1"/>
          <w:sz w:val="22"/>
          <w:szCs w:val="22"/>
        </w:rPr>
        <w:t>Institute of Health Economics (IHE) checklist for case series</w:t>
      </w:r>
      <w:r>
        <w:rPr>
          <w:color w:val="000000" w:themeColor="text1"/>
          <w:sz w:val="22"/>
          <w:szCs w:val="22"/>
        </w:rPr>
        <w:t xml:space="preserve">. </w:t>
      </w:r>
    </w:p>
    <w:p w14:paraId="46125CC8" w14:textId="109BD889" w:rsidR="001B60AF" w:rsidRDefault="0023406F" w:rsidP="00CF7116">
      <w:pPr>
        <w:spacing w:before="240" w:line="276" w:lineRule="auto"/>
        <w:jc w:val="both"/>
        <w:rPr>
          <w:color w:val="000000" w:themeColor="text1"/>
          <w:shd w:val="clear" w:color="auto" w:fill="FFFFFF"/>
        </w:rPr>
      </w:pPr>
      <w:r>
        <w:rPr>
          <w:color w:val="000000" w:themeColor="text1"/>
        </w:rPr>
        <w:t>E</w:t>
      </w:r>
      <w:r w:rsidR="00FB2632">
        <w:rPr>
          <w:color w:val="000000" w:themeColor="text1"/>
        </w:rPr>
        <w:t xml:space="preserve">nvironmental </w:t>
      </w:r>
      <w:r>
        <w:rPr>
          <w:color w:val="000000" w:themeColor="text1"/>
        </w:rPr>
        <w:t xml:space="preserve">surveys </w:t>
      </w:r>
      <w:r w:rsidR="00FB2632">
        <w:rPr>
          <w:color w:val="000000" w:themeColor="text1"/>
        </w:rPr>
        <w:t>and laboratory studies were not appraised for quality</w:t>
      </w:r>
      <w:r w:rsidR="00B0545F">
        <w:rPr>
          <w:color w:val="000000" w:themeColor="text1"/>
        </w:rPr>
        <w:t xml:space="preserve"> since no checklists exist for th</w:t>
      </w:r>
      <w:r w:rsidR="00556D11">
        <w:rPr>
          <w:color w:val="000000" w:themeColor="text1"/>
        </w:rPr>
        <w:t>ese</w:t>
      </w:r>
      <w:r w:rsidR="00B0545F">
        <w:rPr>
          <w:color w:val="000000" w:themeColor="text1"/>
        </w:rPr>
        <w:t xml:space="preserve"> </w:t>
      </w:r>
      <w:r w:rsidR="00B0545F" w:rsidRPr="00A85352">
        <w:rPr>
          <w:color w:val="000000" w:themeColor="text1"/>
        </w:rPr>
        <w:t>type</w:t>
      </w:r>
      <w:r w:rsidR="00556D11">
        <w:rPr>
          <w:color w:val="000000" w:themeColor="text1"/>
        </w:rPr>
        <w:t>s</w:t>
      </w:r>
      <w:r w:rsidR="00B0545F" w:rsidRPr="00A85352">
        <w:rPr>
          <w:color w:val="000000" w:themeColor="text1"/>
        </w:rPr>
        <w:t xml:space="preserve"> of studies</w:t>
      </w:r>
      <w:r w:rsidR="00FB2632" w:rsidRPr="00A85352">
        <w:rPr>
          <w:color w:val="000000" w:themeColor="text1"/>
        </w:rPr>
        <w:t xml:space="preserve">. </w:t>
      </w:r>
      <w:r w:rsidR="00A74B51" w:rsidRPr="00A85352">
        <w:rPr>
          <w:color w:val="000000" w:themeColor="text1"/>
        </w:rPr>
        <w:t xml:space="preserve">Critical appraisal </w:t>
      </w:r>
      <w:r w:rsidR="00540459" w:rsidRPr="00A85352">
        <w:rPr>
          <w:color w:val="000000" w:themeColor="text1"/>
        </w:rPr>
        <w:t xml:space="preserve">and data extraction </w:t>
      </w:r>
      <w:r w:rsidR="00A74B51" w:rsidRPr="00A85352">
        <w:rPr>
          <w:color w:val="000000" w:themeColor="text1"/>
        </w:rPr>
        <w:t>w</w:t>
      </w:r>
      <w:r w:rsidR="00540459" w:rsidRPr="00A85352">
        <w:rPr>
          <w:color w:val="000000" w:themeColor="text1"/>
        </w:rPr>
        <w:t>ere</w:t>
      </w:r>
      <w:r w:rsidR="00A74B51" w:rsidRPr="00A85352">
        <w:rPr>
          <w:color w:val="000000" w:themeColor="text1"/>
        </w:rPr>
        <w:t xml:space="preserve"> conducted by one </w:t>
      </w:r>
      <w:r w:rsidR="00B0545F" w:rsidRPr="00A85352">
        <w:rPr>
          <w:color w:val="000000" w:themeColor="text1"/>
        </w:rPr>
        <w:t>reviewer and</w:t>
      </w:r>
      <w:r w:rsidR="00714242" w:rsidRPr="00A85352">
        <w:rPr>
          <w:color w:val="000000" w:themeColor="text1"/>
        </w:rPr>
        <w:t xml:space="preserve"> checked by the second</w:t>
      </w:r>
      <w:r w:rsidR="00A74B51" w:rsidRPr="00A85352">
        <w:rPr>
          <w:color w:val="000000" w:themeColor="text1"/>
        </w:rPr>
        <w:t xml:space="preserve">. The results </w:t>
      </w:r>
      <w:r w:rsidR="009C4C67">
        <w:rPr>
          <w:color w:val="000000" w:themeColor="text1"/>
        </w:rPr>
        <w:t xml:space="preserve">of quality appraisal </w:t>
      </w:r>
      <w:r w:rsidR="00A74B51" w:rsidRPr="00A85352">
        <w:rPr>
          <w:color w:val="000000" w:themeColor="text1"/>
        </w:rPr>
        <w:t>are available in Appendix</w:t>
      </w:r>
      <w:r w:rsidR="00E910F9" w:rsidRPr="00A85352">
        <w:rPr>
          <w:color w:val="000000" w:themeColor="text1"/>
        </w:rPr>
        <w:t xml:space="preserve"> </w:t>
      </w:r>
      <w:r w:rsidR="001B5B6D">
        <w:rPr>
          <w:color w:val="000000" w:themeColor="text1"/>
        </w:rPr>
        <w:t>3</w:t>
      </w:r>
      <w:r w:rsidR="004A64D1" w:rsidRPr="00A85352">
        <w:rPr>
          <w:color w:val="000000" w:themeColor="text1"/>
          <w:shd w:val="clear" w:color="auto" w:fill="FFFFFF"/>
        </w:rPr>
        <w:t xml:space="preserve">. </w:t>
      </w:r>
    </w:p>
    <w:p w14:paraId="212454F4" w14:textId="45CEA802" w:rsidR="0023406F" w:rsidRPr="008C3140" w:rsidRDefault="0023406F" w:rsidP="00CF7116">
      <w:pPr>
        <w:spacing w:before="240" w:line="276" w:lineRule="auto"/>
        <w:jc w:val="both"/>
        <w:rPr>
          <w:color w:val="000000" w:themeColor="text1"/>
        </w:rPr>
      </w:pPr>
      <w:r w:rsidRPr="0023406F">
        <w:rPr>
          <w:color w:val="000000" w:themeColor="text1"/>
        </w:rPr>
        <w:t>Data were extracted by one reviewer and checked/corrected by another. For each question</w:t>
      </w:r>
      <w:r>
        <w:rPr>
          <w:color w:val="000000" w:themeColor="text1"/>
        </w:rPr>
        <w:t xml:space="preserve"> </w:t>
      </w:r>
      <w:r w:rsidRPr="0023406F">
        <w:rPr>
          <w:color w:val="000000" w:themeColor="text1"/>
        </w:rPr>
        <w:t>cluster the data from the included studies were extracted to create the tables of study</w:t>
      </w:r>
      <w:r>
        <w:rPr>
          <w:color w:val="000000" w:themeColor="text1"/>
        </w:rPr>
        <w:t xml:space="preserve"> </w:t>
      </w:r>
      <w:r w:rsidRPr="0023406F">
        <w:rPr>
          <w:color w:val="000000" w:themeColor="text1"/>
        </w:rPr>
        <w:t>description, data extraction and summary of findings tables (Appendix 4). The list of the</w:t>
      </w:r>
      <w:r>
        <w:rPr>
          <w:color w:val="000000" w:themeColor="text1"/>
        </w:rPr>
        <w:t xml:space="preserve"> </w:t>
      </w:r>
      <w:r w:rsidRPr="0023406F">
        <w:rPr>
          <w:color w:val="000000" w:themeColor="text1"/>
        </w:rPr>
        <w:t>studies rejected at full text stage</w:t>
      </w:r>
      <w:r w:rsidR="00556D11">
        <w:rPr>
          <w:color w:val="000000" w:themeColor="text1"/>
        </w:rPr>
        <w:t>,</w:t>
      </w:r>
      <w:r w:rsidRPr="0023406F">
        <w:rPr>
          <w:color w:val="000000" w:themeColor="text1"/>
        </w:rPr>
        <w:t xml:space="preserve"> with a reason for this decision, is included in the excluded</w:t>
      </w:r>
      <w:r>
        <w:rPr>
          <w:color w:val="000000" w:themeColor="text1"/>
        </w:rPr>
        <w:t xml:space="preserve"> </w:t>
      </w:r>
      <w:r w:rsidRPr="0023406F">
        <w:rPr>
          <w:color w:val="000000" w:themeColor="text1"/>
        </w:rPr>
        <w:t>study tables</w:t>
      </w:r>
      <w:r>
        <w:rPr>
          <w:color w:val="000000" w:themeColor="text1"/>
        </w:rPr>
        <w:t xml:space="preserve"> (Appendix </w:t>
      </w:r>
      <w:r w:rsidR="009C4C67">
        <w:rPr>
          <w:color w:val="000000" w:themeColor="text1"/>
        </w:rPr>
        <w:t>2b</w:t>
      </w:r>
      <w:r>
        <w:rPr>
          <w:color w:val="000000" w:themeColor="text1"/>
        </w:rPr>
        <w:t>)</w:t>
      </w:r>
      <w:r w:rsidRPr="0023406F">
        <w:rPr>
          <w:color w:val="000000" w:themeColor="text1"/>
        </w:rPr>
        <w:t>. Due to limited evidence, most of the data were described narratively.</w:t>
      </w:r>
      <w:r>
        <w:rPr>
          <w:color w:val="000000" w:themeColor="text1"/>
        </w:rPr>
        <w:t xml:space="preserve"> Meta-analyses were only possible for </w:t>
      </w:r>
      <w:r w:rsidR="00E2003E">
        <w:rPr>
          <w:color w:val="000000" w:themeColor="text1"/>
        </w:rPr>
        <w:t>DAS</w:t>
      </w:r>
      <w:r>
        <w:rPr>
          <w:color w:val="000000" w:themeColor="text1"/>
        </w:rPr>
        <w:t xml:space="preserve">. </w:t>
      </w:r>
    </w:p>
    <w:p w14:paraId="497E4E28" w14:textId="0BD80DDA" w:rsidR="009C5B93" w:rsidRPr="00555B31" w:rsidRDefault="0023406F" w:rsidP="00CF7116">
      <w:pPr>
        <w:pStyle w:val="Heading2"/>
        <w:spacing w:before="240" w:after="160" w:line="276" w:lineRule="auto"/>
      </w:pPr>
      <w:r>
        <w:t>7</w:t>
      </w:r>
      <w:r w:rsidR="004D288B">
        <w:t xml:space="preserve">.5 </w:t>
      </w:r>
      <w:r w:rsidR="009C5B93" w:rsidRPr="00555B31">
        <w:t>Rating of evidence and recommendations</w:t>
      </w:r>
    </w:p>
    <w:p w14:paraId="6154D4BC" w14:textId="03EBAC66" w:rsidR="005810F6" w:rsidRDefault="004A537B" w:rsidP="00CF7116">
      <w:pPr>
        <w:spacing w:before="240" w:line="276" w:lineRule="auto"/>
        <w:jc w:val="both"/>
        <w:rPr>
          <w:color w:val="000000" w:themeColor="text1"/>
          <w:shd w:val="clear" w:color="auto" w:fill="FFFFFF"/>
        </w:rPr>
      </w:pPr>
      <w:r w:rsidRPr="008C3140">
        <w:rPr>
          <w:color w:val="000000" w:themeColor="text1"/>
          <w:shd w:val="clear" w:color="auto" w:fill="FFFFFF"/>
        </w:rPr>
        <w:t xml:space="preserve">The strength of </w:t>
      </w:r>
      <w:r w:rsidR="00FB2632">
        <w:rPr>
          <w:color w:val="000000" w:themeColor="text1"/>
          <w:shd w:val="clear" w:color="auto" w:fill="FFFFFF"/>
        </w:rPr>
        <w:t xml:space="preserve">the </w:t>
      </w:r>
      <w:r w:rsidRPr="008C3140">
        <w:rPr>
          <w:color w:val="000000" w:themeColor="text1"/>
          <w:shd w:val="clear" w:color="auto" w:fill="FFFFFF"/>
        </w:rPr>
        <w:t>evidence was defined by</w:t>
      </w:r>
      <w:r w:rsidR="00FB2632">
        <w:rPr>
          <w:color w:val="000000" w:themeColor="text1"/>
          <w:shd w:val="clear" w:color="auto" w:fill="FFFFFF"/>
        </w:rPr>
        <w:t xml:space="preserve"> GRADE </w:t>
      </w:r>
      <w:r w:rsidR="00FB2632" w:rsidRPr="008C3140">
        <w:rPr>
          <w:color w:val="000000" w:themeColor="text1"/>
          <w:shd w:val="clear" w:color="auto" w:fill="FFFFFF"/>
        </w:rPr>
        <w:t>(</w:t>
      </w:r>
      <w:bookmarkStart w:id="4" w:name="_Hlk115171538"/>
      <w:r w:rsidR="00FB2632" w:rsidRPr="008C3140">
        <w:rPr>
          <w:color w:val="000000" w:themeColor="text1"/>
          <w:shd w:val="clear" w:color="auto" w:fill="FFFFFF"/>
        </w:rPr>
        <w:t>Grad</w:t>
      </w:r>
      <w:r w:rsidR="002E00F0">
        <w:rPr>
          <w:color w:val="000000" w:themeColor="text1"/>
          <w:shd w:val="clear" w:color="auto" w:fill="FFFFFF"/>
        </w:rPr>
        <w:t>ing</w:t>
      </w:r>
      <w:r w:rsidR="00FB2632" w:rsidRPr="008C3140">
        <w:rPr>
          <w:color w:val="000000" w:themeColor="text1"/>
          <w:shd w:val="clear" w:color="auto" w:fill="FFFFFF"/>
        </w:rPr>
        <w:t xml:space="preserve"> of Recommendation</w:t>
      </w:r>
      <w:r w:rsidR="002E00F0">
        <w:rPr>
          <w:color w:val="000000" w:themeColor="text1"/>
          <w:shd w:val="clear" w:color="auto" w:fill="FFFFFF"/>
        </w:rPr>
        <w:t>s</w:t>
      </w:r>
      <w:r w:rsidR="00FB2632" w:rsidRPr="008C3140">
        <w:rPr>
          <w:color w:val="000000" w:themeColor="text1"/>
          <w:shd w:val="clear" w:color="auto" w:fill="FFFFFF"/>
        </w:rPr>
        <w:t xml:space="preserve"> Assessment, </w:t>
      </w:r>
      <w:r w:rsidR="00FB2632" w:rsidRPr="00A85352">
        <w:rPr>
          <w:color w:val="000000" w:themeColor="text1"/>
          <w:shd w:val="clear" w:color="auto" w:fill="FFFFFF"/>
        </w:rPr>
        <w:t>Development and Evaluation)</w:t>
      </w:r>
      <w:bookmarkEnd w:id="4"/>
      <w:r w:rsidR="00FB2632" w:rsidRPr="00A85352">
        <w:rPr>
          <w:color w:val="000000" w:themeColor="text1"/>
          <w:shd w:val="clear" w:color="auto" w:fill="FFFFFF"/>
        </w:rPr>
        <w:t xml:space="preserve"> tables </w:t>
      </w:r>
      <w:r w:rsidR="0035309D" w:rsidRPr="00A85352">
        <w:rPr>
          <w:color w:val="000000" w:themeColor="text1"/>
          <w:shd w:val="clear" w:color="auto" w:fill="FFFFFF"/>
        </w:rPr>
        <w:t xml:space="preserve">(Appendix </w:t>
      </w:r>
      <w:r w:rsidR="009C4C67">
        <w:rPr>
          <w:color w:val="000000" w:themeColor="text1"/>
          <w:shd w:val="clear" w:color="auto" w:fill="FFFFFF"/>
        </w:rPr>
        <w:t>5</w:t>
      </w:r>
      <w:r w:rsidR="0035309D" w:rsidRPr="00A85352">
        <w:rPr>
          <w:color w:val="000000" w:themeColor="text1"/>
          <w:shd w:val="clear" w:color="auto" w:fill="FFFFFF"/>
        </w:rPr>
        <w:t xml:space="preserve">) </w:t>
      </w:r>
      <w:r w:rsidR="00FB2632" w:rsidRPr="00A85352">
        <w:rPr>
          <w:color w:val="000000" w:themeColor="text1"/>
          <w:shd w:val="clear" w:color="auto" w:fill="FFFFFF"/>
        </w:rPr>
        <w:t>and using the ratings ‘high’, ‘moderate’, ‘low’ and</w:t>
      </w:r>
      <w:r w:rsidR="00FB2632">
        <w:rPr>
          <w:color w:val="000000" w:themeColor="text1"/>
          <w:shd w:val="clear" w:color="auto" w:fill="FFFFFF"/>
        </w:rPr>
        <w:t xml:space="preserve"> </w:t>
      </w:r>
      <w:r w:rsidR="00FB2632">
        <w:rPr>
          <w:color w:val="000000" w:themeColor="text1"/>
          <w:shd w:val="clear" w:color="auto" w:fill="FFFFFF"/>
        </w:rPr>
        <w:lastRenderedPageBreak/>
        <w:t xml:space="preserve">‘very low’ to construct the evidence statements, </w:t>
      </w:r>
      <w:r w:rsidR="0023406F">
        <w:rPr>
          <w:color w:val="000000" w:themeColor="text1"/>
          <w:shd w:val="clear" w:color="auto" w:fill="FFFFFF"/>
        </w:rPr>
        <w:t>which</w:t>
      </w:r>
      <w:r w:rsidR="00FB2632">
        <w:rPr>
          <w:color w:val="000000" w:themeColor="text1"/>
          <w:shd w:val="clear" w:color="auto" w:fill="FFFFFF"/>
        </w:rPr>
        <w:t xml:space="preserve"> reflected the Working Party’s confidence in the evidence.</w:t>
      </w:r>
      <w:r w:rsidR="001174E1" w:rsidRPr="008C3140">
        <w:rPr>
          <w:color w:val="000000" w:themeColor="text1"/>
          <w:shd w:val="clear" w:color="auto" w:fill="FFFFFF"/>
        </w:rPr>
        <w:t xml:space="preserve"> </w:t>
      </w:r>
      <w:r w:rsidR="00FB2632">
        <w:rPr>
          <w:color w:val="000000" w:themeColor="text1"/>
          <w:shd w:val="clear" w:color="auto" w:fill="FFFFFF"/>
        </w:rPr>
        <w:t>T</w:t>
      </w:r>
      <w:r w:rsidR="001174E1" w:rsidRPr="008C3140">
        <w:rPr>
          <w:color w:val="000000" w:themeColor="text1"/>
          <w:shd w:val="clear" w:color="auto" w:fill="FFFFFF"/>
        </w:rPr>
        <w:t xml:space="preserve">he </w:t>
      </w:r>
      <w:r w:rsidR="001174E1" w:rsidRPr="002C768B">
        <w:rPr>
          <w:color w:val="000000" w:themeColor="text1"/>
          <w:shd w:val="clear" w:color="auto" w:fill="FFFFFF"/>
        </w:rPr>
        <w:t xml:space="preserve">strength of recommendation was adopted from GRADE </w:t>
      </w:r>
      <w:r w:rsidR="00FB2632" w:rsidRPr="002C768B">
        <w:rPr>
          <w:color w:val="000000" w:themeColor="text1"/>
          <w:shd w:val="clear" w:color="auto" w:fill="FFFFFF"/>
        </w:rPr>
        <w:t>and reflect</w:t>
      </w:r>
      <w:r w:rsidR="00540459">
        <w:rPr>
          <w:color w:val="000000" w:themeColor="text1"/>
          <w:shd w:val="clear" w:color="auto" w:fill="FFFFFF"/>
        </w:rPr>
        <w:t>s</w:t>
      </w:r>
      <w:r w:rsidR="00FB2632" w:rsidRPr="002C768B">
        <w:rPr>
          <w:color w:val="000000" w:themeColor="text1"/>
          <w:shd w:val="clear" w:color="auto" w:fill="FFFFFF"/>
        </w:rPr>
        <w:t xml:space="preserve"> the strength of </w:t>
      </w:r>
      <w:r w:rsidR="00540459">
        <w:rPr>
          <w:color w:val="000000" w:themeColor="text1"/>
          <w:shd w:val="clear" w:color="auto" w:fill="FFFFFF"/>
        </w:rPr>
        <w:t>each</w:t>
      </w:r>
      <w:r w:rsidR="00FB2632" w:rsidRPr="002C768B">
        <w:rPr>
          <w:color w:val="000000" w:themeColor="text1"/>
          <w:shd w:val="clear" w:color="auto" w:fill="FFFFFF"/>
        </w:rPr>
        <w:t xml:space="preserve"> evidence statement. </w:t>
      </w:r>
      <w:r w:rsidR="00B577B0" w:rsidRPr="002C768B">
        <w:rPr>
          <w:color w:val="000000" w:themeColor="text1"/>
          <w:shd w:val="clear" w:color="auto" w:fill="FFFFFF"/>
        </w:rPr>
        <w:t>In instances where no evidence was identified from searches, the statement ‘</w:t>
      </w:r>
      <w:r w:rsidR="00B577B0" w:rsidRPr="002C768B">
        <w:t>No evidence was found in studies published so far</w:t>
      </w:r>
      <w:r w:rsidR="00B577B0" w:rsidRPr="002C768B">
        <w:rPr>
          <w:color w:val="000000" w:themeColor="text1"/>
          <w:shd w:val="clear" w:color="auto" w:fill="FFFFFF"/>
        </w:rPr>
        <w:t>…’ i</w:t>
      </w:r>
      <w:r w:rsidR="00540459">
        <w:rPr>
          <w:color w:val="000000" w:themeColor="text1"/>
          <w:shd w:val="clear" w:color="auto" w:fill="FFFFFF"/>
        </w:rPr>
        <w:t>ndicates</w:t>
      </w:r>
      <w:r w:rsidR="00B577B0" w:rsidRPr="002C768B">
        <w:rPr>
          <w:color w:val="000000" w:themeColor="text1"/>
          <w:shd w:val="clear" w:color="auto" w:fill="FFFFFF"/>
        </w:rPr>
        <w:t xml:space="preserve"> that no studies </w:t>
      </w:r>
      <w:r w:rsidR="00540459">
        <w:rPr>
          <w:color w:val="000000" w:themeColor="text1"/>
          <w:shd w:val="clear" w:color="auto" w:fill="FFFFFF"/>
        </w:rPr>
        <w:t xml:space="preserve">have </w:t>
      </w:r>
      <w:r w:rsidR="00B577B0" w:rsidRPr="002C768B">
        <w:rPr>
          <w:color w:val="000000" w:themeColor="text1"/>
          <w:shd w:val="clear" w:color="auto" w:fill="FFFFFF"/>
        </w:rPr>
        <w:t>assessed this as an outcome. W</w:t>
      </w:r>
      <w:r w:rsidR="009C5B93" w:rsidRPr="002C768B">
        <w:rPr>
          <w:color w:val="000000" w:themeColor="text1"/>
          <w:shd w:val="clear" w:color="auto" w:fill="FFFFFF"/>
        </w:rPr>
        <w:t>here</w:t>
      </w:r>
      <w:r w:rsidR="009C5B93" w:rsidRPr="008C3140">
        <w:rPr>
          <w:color w:val="000000" w:themeColor="text1"/>
          <w:shd w:val="clear" w:color="auto" w:fill="FFFFFF"/>
        </w:rPr>
        <w:t xml:space="preserve"> there was no evidence or </w:t>
      </w:r>
      <w:r w:rsidR="00152F55" w:rsidRPr="008C3140">
        <w:rPr>
          <w:color w:val="000000" w:themeColor="text1"/>
          <w:shd w:val="clear" w:color="auto" w:fill="FFFFFF"/>
        </w:rPr>
        <w:t xml:space="preserve">a </w:t>
      </w:r>
      <w:r w:rsidR="009C5B93" w:rsidRPr="008C3140">
        <w:rPr>
          <w:color w:val="000000" w:themeColor="text1"/>
          <w:shd w:val="clear" w:color="auto" w:fill="FFFFFF"/>
        </w:rPr>
        <w:t xml:space="preserve">paucity of evidence, </w:t>
      </w:r>
      <w:r w:rsidR="00B0545F">
        <w:rPr>
          <w:color w:val="000000" w:themeColor="text1"/>
          <w:shd w:val="clear" w:color="auto" w:fill="FFFFFF"/>
        </w:rPr>
        <w:t>expert-based</w:t>
      </w:r>
      <w:r w:rsidR="00B5242F" w:rsidRPr="008C3140">
        <w:rPr>
          <w:color w:val="000000" w:themeColor="text1"/>
          <w:shd w:val="clear" w:color="auto" w:fill="FFFFFF"/>
        </w:rPr>
        <w:t xml:space="preserve"> </w:t>
      </w:r>
      <w:r w:rsidR="009C5B93" w:rsidRPr="008C3140">
        <w:rPr>
          <w:color w:val="000000" w:themeColor="text1"/>
          <w:shd w:val="clear" w:color="auto" w:fill="FFFFFF"/>
        </w:rPr>
        <w:t>recommendations were made by expert experience</w:t>
      </w:r>
      <w:r w:rsidR="00540459">
        <w:rPr>
          <w:color w:val="000000" w:themeColor="text1"/>
          <w:shd w:val="clear" w:color="auto" w:fill="FFFFFF"/>
        </w:rPr>
        <w:t>.</w:t>
      </w:r>
      <w:r w:rsidR="00FB2632">
        <w:rPr>
          <w:color w:val="000000" w:themeColor="text1"/>
          <w:shd w:val="clear" w:color="auto" w:fill="FFFFFF"/>
        </w:rPr>
        <w:t xml:space="preserve"> </w:t>
      </w:r>
      <w:r w:rsidR="009C5B93" w:rsidRPr="008C3140">
        <w:rPr>
          <w:color w:val="000000" w:themeColor="text1"/>
          <w:shd w:val="clear" w:color="auto" w:fill="FFFFFF"/>
        </w:rPr>
        <w:t>A</w:t>
      </w:r>
      <w:r w:rsidR="00540459">
        <w:rPr>
          <w:color w:val="000000" w:themeColor="text1"/>
          <w:shd w:val="clear" w:color="auto" w:fill="FFFFFF"/>
        </w:rPr>
        <w:t>ll</w:t>
      </w:r>
      <w:r w:rsidR="009C5B93" w:rsidRPr="008C3140">
        <w:rPr>
          <w:color w:val="000000" w:themeColor="text1"/>
          <w:shd w:val="clear" w:color="auto" w:fill="FFFFFF"/>
        </w:rPr>
        <w:t xml:space="preserve"> disagreements w</w:t>
      </w:r>
      <w:r w:rsidR="00F54E4F">
        <w:rPr>
          <w:color w:val="000000" w:themeColor="text1"/>
          <w:shd w:val="clear" w:color="auto" w:fill="FFFFFF"/>
        </w:rPr>
        <w:t>ere</w:t>
      </w:r>
      <w:r w:rsidR="009C5B93" w:rsidRPr="008C3140">
        <w:rPr>
          <w:color w:val="000000" w:themeColor="text1"/>
          <w:shd w:val="clear" w:color="auto" w:fill="FFFFFF"/>
        </w:rPr>
        <w:t xml:space="preserve"> resolved by discussion</w:t>
      </w:r>
      <w:r w:rsidR="00B0545F">
        <w:rPr>
          <w:color w:val="000000" w:themeColor="text1"/>
          <w:shd w:val="clear" w:color="auto" w:fill="FFFFFF"/>
        </w:rPr>
        <w:t>s</w:t>
      </w:r>
      <w:r w:rsidR="009C5B93" w:rsidRPr="008C3140">
        <w:rPr>
          <w:color w:val="000000" w:themeColor="text1"/>
          <w:shd w:val="clear" w:color="auto" w:fill="FFFFFF"/>
        </w:rPr>
        <w:t xml:space="preserve"> and voting by members of </w:t>
      </w:r>
      <w:r w:rsidR="001B60AF" w:rsidRPr="008C3140">
        <w:rPr>
          <w:color w:val="000000" w:themeColor="text1"/>
          <w:shd w:val="clear" w:color="auto" w:fill="FFFFFF"/>
        </w:rPr>
        <w:t xml:space="preserve">the </w:t>
      </w:r>
      <w:r w:rsidR="00540459">
        <w:rPr>
          <w:color w:val="000000" w:themeColor="text1"/>
          <w:shd w:val="clear" w:color="auto" w:fill="FFFFFF"/>
        </w:rPr>
        <w:t>Working Party</w:t>
      </w:r>
      <w:r w:rsidR="00B0545F">
        <w:rPr>
          <w:color w:val="000000" w:themeColor="text1"/>
          <w:shd w:val="clear" w:color="auto" w:fill="FFFFFF"/>
        </w:rPr>
        <w:t xml:space="preserve"> during the meetings</w:t>
      </w:r>
      <w:r w:rsidR="009C5B93" w:rsidRPr="008C3140">
        <w:rPr>
          <w:color w:val="000000" w:themeColor="text1"/>
          <w:shd w:val="clear" w:color="auto" w:fill="FFFFFF"/>
        </w:rPr>
        <w:t>.</w:t>
      </w:r>
    </w:p>
    <w:p w14:paraId="3FE00B00" w14:textId="77777777" w:rsidR="00B0545F" w:rsidRPr="00B0545F" w:rsidRDefault="00B0545F" w:rsidP="00CF7116">
      <w:pPr>
        <w:spacing w:before="240" w:line="276" w:lineRule="auto"/>
        <w:jc w:val="both"/>
        <w:rPr>
          <w:rFonts w:cstheme="minorHAnsi"/>
          <w:color w:val="000000" w:themeColor="text1"/>
          <w:shd w:val="clear" w:color="auto" w:fill="FFFFFF"/>
        </w:rPr>
      </w:pPr>
      <w:r w:rsidRPr="00B0545F">
        <w:rPr>
          <w:rFonts w:cstheme="minorHAnsi"/>
          <w:color w:val="000000" w:themeColor="text1"/>
          <w:shd w:val="clear" w:color="auto" w:fill="FFFFFF"/>
        </w:rPr>
        <w:t>When writing recommendations, the Working Party considered the following:</w:t>
      </w:r>
    </w:p>
    <w:p w14:paraId="1112C729" w14:textId="77777777" w:rsidR="00B0545F" w:rsidRPr="00B0545F" w:rsidRDefault="00B0545F" w:rsidP="00CF7116">
      <w:pPr>
        <w:pStyle w:val="ListParagraph"/>
        <w:numPr>
          <w:ilvl w:val="0"/>
          <w:numId w:val="16"/>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 xml:space="preserve">Who should act on these recommendations? </w:t>
      </w:r>
    </w:p>
    <w:p w14:paraId="186F204D" w14:textId="77777777" w:rsidR="00B0545F" w:rsidRPr="00B0545F" w:rsidRDefault="00B0545F" w:rsidP="00CF7116">
      <w:pPr>
        <w:pStyle w:val="ListParagraph"/>
        <w:numPr>
          <w:ilvl w:val="0"/>
          <w:numId w:val="16"/>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 xml:space="preserve">What are the potential harms and benefits of the intervention and any unintended consequences? </w:t>
      </w:r>
    </w:p>
    <w:p w14:paraId="7A36EA7C" w14:textId="77777777" w:rsidR="00B0545F" w:rsidRPr="00B0545F" w:rsidRDefault="00B0545F" w:rsidP="00CF7116">
      <w:pPr>
        <w:pStyle w:val="ListParagraph"/>
        <w:numPr>
          <w:ilvl w:val="0"/>
          <w:numId w:val="16"/>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 xml:space="preserve">What is the efficacy and the effectiveness of each intervention? </w:t>
      </w:r>
    </w:p>
    <w:p w14:paraId="27CE7FF3" w14:textId="77777777" w:rsidR="00B0545F" w:rsidRPr="00B0545F" w:rsidRDefault="00B0545F" w:rsidP="00CF7116">
      <w:pPr>
        <w:pStyle w:val="ListParagraph"/>
        <w:numPr>
          <w:ilvl w:val="0"/>
          <w:numId w:val="16"/>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Is it possible to stop another intervention because it has been superseded by the new recommendation?</w:t>
      </w:r>
    </w:p>
    <w:p w14:paraId="380F4C25" w14:textId="77777777" w:rsidR="00B0545F" w:rsidRPr="00B0545F" w:rsidRDefault="00B0545F" w:rsidP="00CF7116">
      <w:pPr>
        <w:pStyle w:val="ListParagraph"/>
        <w:numPr>
          <w:ilvl w:val="0"/>
          <w:numId w:val="16"/>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What is the potential effect on health inequalities?</w:t>
      </w:r>
    </w:p>
    <w:p w14:paraId="3DE8EA21" w14:textId="082F5672" w:rsidR="00B0545F" w:rsidRPr="00B0545F" w:rsidRDefault="00B0545F" w:rsidP="00CF7116">
      <w:pPr>
        <w:pStyle w:val="ListParagraph"/>
        <w:numPr>
          <w:ilvl w:val="0"/>
          <w:numId w:val="16"/>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 xml:space="preserve">What is the cost-effectiveness of the intervention, including staff resources </w:t>
      </w:r>
      <w:r w:rsidR="001E450D">
        <w:rPr>
          <w:rFonts w:cstheme="minorHAnsi"/>
          <w:color w:val="000000" w:themeColor="text1"/>
          <w:sz w:val="22"/>
          <w:szCs w:val="22"/>
          <w:shd w:val="clear" w:color="auto" w:fill="FFFFFF"/>
        </w:rPr>
        <w:t xml:space="preserve">and </w:t>
      </w:r>
      <w:r w:rsidRPr="00B0545F">
        <w:rPr>
          <w:rFonts w:cstheme="minorHAnsi"/>
          <w:color w:val="000000" w:themeColor="text1"/>
          <w:sz w:val="22"/>
          <w:szCs w:val="22"/>
          <w:shd w:val="clear" w:color="auto" w:fill="FFFFFF"/>
        </w:rPr>
        <w:t>other economic concerns?</w:t>
      </w:r>
    </w:p>
    <w:p w14:paraId="2B6AC0CB" w14:textId="77777777" w:rsidR="00B0545F" w:rsidRPr="00B0545F" w:rsidRDefault="00B0545F" w:rsidP="00CF7116">
      <w:pPr>
        <w:pStyle w:val="ListParagraph"/>
        <w:numPr>
          <w:ilvl w:val="0"/>
          <w:numId w:val="16"/>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Can the recommended interventions be feasibly put into practice?</w:t>
      </w:r>
    </w:p>
    <w:p w14:paraId="3972E631" w14:textId="77777777" w:rsidR="00B0545F" w:rsidRPr="00B0545F" w:rsidRDefault="00B0545F" w:rsidP="00CF7116">
      <w:pPr>
        <w:spacing w:before="240" w:line="276" w:lineRule="auto"/>
        <w:jc w:val="both"/>
        <w:rPr>
          <w:rFonts w:cstheme="minorHAnsi"/>
          <w:color w:val="000000" w:themeColor="text1"/>
          <w:shd w:val="clear" w:color="auto" w:fill="FFFFFF"/>
        </w:rPr>
      </w:pPr>
      <w:r w:rsidRPr="00B0545F">
        <w:rPr>
          <w:rFonts w:cstheme="minorHAnsi"/>
          <w:color w:val="000000" w:themeColor="text1"/>
          <w:shd w:val="clear" w:color="auto" w:fill="FFFFFF"/>
        </w:rPr>
        <w:t xml:space="preserve">The wording of the evidence statements and the recommendations reflected the strength of the evidence and its classification. The following criteria were used: </w:t>
      </w:r>
    </w:p>
    <w:p w14:paraId="07F5B35B" w14:textId="2CA8D0D6" w:rsidR="00B0545F" w:rsidRPr="00B0545F" w:rsidRDefault="00B0545F" w:rsidP="00CF7116">
      <w:pPr>
        <w:pStyle w:val="ListParagraph"/>
        <w:numPr>
          <w:ilvl w:val="0"/>
          <w:numId w:val="17"/>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 xml:space="preserve">‘offer’, ‘measure’, ‘advise’, ‘refer’, ‘use’ or similar wording was used if the Working Party believed that most practitioners/commissioners/service users would choose an intervention if they were presented with the same evidence: this usually means that the benefits outweigh harms, and that the intervention is cost-effective. This reflects a strong recommendation for the intervention. If there </w:t>
      </w:r>
      <w:r w:rsidR="001E450D">
        <w:rPr>
          <w:rFonts w:cstheme="minorHAnsi"/>
          <w:color w:val="000000" w:themeColor="text1"/>
          <w:sz w:val="22"/>
          <w:szCs w:val="22"/>
          <w:shd w:val="clear" w:color="auto" w:fill="FFFFFF"/>
        </w:rPr>
        <w:t>wa</w:t>
      </w:r>
      <w:r w:rsidRPr="00B0545F">
        <w:rPr>
          <w:rFonts w:cstheme="minorHAnsi"/>
          <w:color w:val="000000" w:themeColor="text1"/>
          <w:sz w:val="22"/>
          <w:szCs w:val="22"/>
          <w:shd w:val="clear" w:color="auto" w:fill="FFFFFF"/>
        </w:rPr>
        <w:t>s a legal duty, or if not following a recommendation may have serious consequences, the word ‘must’ was used.</w:t>
      </w:r>
    </w:p>
    <w:p w14:paraId="77EE5D75" w14:textId="22C32197" w:rsidR="00B0545F" w:rsidRPr="00B0545F" w:rsidRDefault="00B0545F" w:rsidP="00CF7116">
      <w:pPr>
        <w:pStyle w:val="ListParagraph"/>
        <w:numPr>
          <w:ilvl w:val="0"/>
          <w:numId w:val="17"/>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‘do not offer’ or similar wording was used if the Working Party believed that harms outweigh</w:t>
      </w:r>
      <w:r w:rsidR="001E450D">
        <w:rPr>
          <w:rFonts w:cstheme="minorHAnsi"/>
          <w:color w:val="000000" w:themeColor="text1"/>
          <w:sz w:val="22"/>
          <w:szCs w:val="22"/>
          <w:shd w:val="clear" w:color="auto" w:fill="FFFFFF"/>
        </w:rPr>
        <w:t>ed</w:t>
      </w:r>
      <w:r w:rsidRPr="00B0545F">
        <w:rPr>
          <w:rFonts w:cstheme="minorHAnsi"/>
          <w:color w:val="000000" w:themeColor="text1"/>
          <w:sz w:val="22"/>
          <w:szCs w:val="22"/>
          <w:shd w:val="clear" w:color="auto" w:fill="FFFFFF"/>
        </w:rPr>
        <w:t xml:space="preserve"> the benefits or if an intervention </w:t>
      </w:r>
      <w:r w:rsidR="001E450D">
        <w:rPr>
          <w:rFonts w:cstheme="minorHAnsi"/>
          <w:color w:val="000000" w:themeColor="text1"/>
          <w:sz w:val="22"/>
          <w:szCs w:val="22"/>
          <w:shd w:val="clear" w:color="auto" w:fill="FFFFFF"/>
        </w:rPr>
        <w:t>wa</w:t>
      </w:r>
      <w:r w:rsidRPr="00B0545F">
        <w:rPr>
          <w:rFonts w:cstheme="minorHAnsi"/>
          <w:color w:val="000000" w:themeColor="text1"/>
          <w:sz w:val="22"/>
          <w:szCs w:val="22"/>
          <w:shd w:val="clear" w:color="auto" w:fill="FFFFFF"/>
        </w:rPr>
        <w:t>s not likely to be cost-effective. This reflect</w:t>
      </w:r>
      <w:r w:rsidR="001E450D">
        <w:rPr>
          <w:rFonts w:cstheme="minorHAnsi"/>
          <w:color w:val="000000" w:themeColor="text1"/>
          <w:sz w:val="22"/>
          <w:szCs w:val="22"/>
          <w:shd w:val="clear" w:color="auto" w:fill="FFFFFF"/>
        </w:rPr>
        <w:t>ed</w:t>
      </w:r>
      <w:r w:rsidRPr="00B0545F">
        <w:rPr>
          <w:rFonts w:cstheme="minorHAnsi"/>
          <w:color w:val="000000" w:themeColor="text1"/>
          <w:sz w:val="22"/>
          <w:szCs w:val="22"/>
          <w:shd w:val="clear" w:color="auto" w:fill="FFFFFF"/>
        </w:rPr>
        <w:t xml:space="preserve"> a strong recommendation against the intervention. </w:t>
      </w:r>
      <w:bookmarkStart w:id="5" w:name="_Hlk71639246"/>
      <w:r w:rsidRPr="00B0545F">
        <w:rPr>
          <w:rFonts w:cstheme="minorHAnsi"/>
          <w:color w:val="000000" w:themeColor="text1"/>
          <w:sz w:val="22"/>
          <w:szCs w:val="22"/>
          <w:shd w:val="clear" w:color="auto" w:fill="FFFFFF"/>
        </w:rPr>
        <w:t xml:space="preserve">If there </w:t>
      </w:r>
      <w:r w:rsidR="001E450D">
        <w:rPr>
          <w:rFonts w:cstheme="minorHAnsi"/>
          <w:color w:val="000000" w:themeColor="text1"/>
          <w:sz w:val="22"/>
          <w:szCs w:val="22"/>
          <w:shd w:val="clear" w:color="auto" w:fill="FFFFFF"/>
        </w:rPr>
        <w:t>wa</w:t>
      </w:r>
      <w:r w:rsidRPr="00B0545F">
        <w:rPr>
          <w:rFonts w:cstheme="minorHAnsi"/>
          <w:color w:val="000000" w:themeColor="text1"/>
          <w:sz w:val="22"/>
          <w:szCs w:val="22"/>
          <w:shd w:val="clear" w:color="auto" w:fill="FFFFFF"/>
        </w:rPr>
        <w:t>s a legal duty, or if not following a recommendation may have serious consequences</w:t>
      </w:r>
      <w:bookmarkEnd w:id="5"/>
      <w:r w:rsidRPr="00B0545F">
        <w:rPr>
          <w:rFonts w:cstheme="minorHAnsi"/>
          <w:color w:val="000000" w:themeColor="text1"/>
          <w:sz w:val="22"/>
          <w:szCs w:val="22"/>
          <w:shd w:val="clear" w:color="auto" w:fill="FFFFFF"/>
        </w:rPr>
        <w:t>, the words ‘must not’ were used.</w:t>
      </w:r>
    </w:p>
    <w:p w14:paraId="0E844293" w14:textId="50D8EEF4" w:rsidR="00B0545F" w:rsidRPr="00B0545F" w:rsidRDefault="00B0545F" w:rsidP="00CF7116">
      <w:pPr>
        <w:pStyle w:val="ListParagraph"/>
        <w:numPr>
          <w:ilvl w:val="0"/>
          <w:numId w:val="17"/>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 xml:space="preserve">‘consider’ was used if the Working Party believed that the evidence did not support a strong recommendation, but that the intervention may </w:t>
      </w:r>
      <w:r w:rsidR="001E450D">
        <w:rPr>
          <w:rFonts w:cstheme="minorHAnsi"/>
          <w:color w:val="000000" w:themeColor="text1"/>
          <w:sz w:val="22"/>
          <w:szCs w:val="22"/>
          <w:shd w:val="clear" w:color="auto" w:fill="FFFFFF"/>
        </w:rPr>
        <w:t>have been</w:t>
      </w:r>
      <w:r w:rsidRPr="00B0545F">
        <w:rPr>
          <w:rFonts w:cstheme="minorHAnsi"/>
          <w:color w:val="000000" w:themeColor="text1"/>
          <w:sz w:val="22"/>
          <w:szCs w:val="22"/>
          <w:shd w:val="clear" w:color="auto" w:fill="FFFFFF"/>
        </w:rPr>
        <w:t xml:space="preserve"> beneficial in some circumstances. This reflected a conditional recommendation for the intervention.</w:t>
      </w:r>
    </w:p>
    <w:p w14:paraId="02FAB8A1" w14:textId="73AC0BF0" w:rsidR="00B0545F" w:rsidRDefault="00B0545F" w:rsidP="00CF7116">
      <w:pPr>
        <w:pStyle w:val="ListParagraph"/>
        <w:numPr>
          <w:ilvl w:val="0"/>
          <w:numId w:val="17"/>
        </w:numPr>
        <w:spacing w:before="240" w:after="160" w:line="276" w:lineRule="auto"/>
        <w:jc w:val="both"/>
        <w:rPr>
          <w:rFonts w:cstheme="minorHAnsi"/>
          <w:color w:val="000000" w:themeColor="text1"/>
          <w:sz w:val="22"/>
          <w:szCs w:val="22"/>
          <w:shd w:val="clear" w:color="auto" w:fill="FFFFFF"/>
        </w:rPr>
      </w:pPr>
      <w:r w:rsidRPr="00B0545F">
        <w:rPr>
          <w:rFonts w:cstheme="minorHAnsi"/>
          <w:color w:val="000000" w:themeColor="text1"/>
          <w:sz w:val="22"/>
          <w:szCs w:val="22"/>
          <w:shd w:val="clear" w:color="auto" w:fill="FFFFFF"/>
        </w:rPr>
        <w:t xml:space="preserve">The ‘do not offer, unless…’ </w:t>
      </w:r>
      <w:r w:rsidR="0023406F">
        <w:rPr>
          <w:rFonts w:cstheme="minorHAnsi"/>
          <w:color w:val="000000" w:themeColor="text1"/>
          <w:sz w:val="22"/>
          <w:szCs w:val="22"/>
          <w:shd w:val="clear" w:color="auto" w:fill="FFFFFF"/>
        </w:rPr>
        <w:t xml:space="preserve">or similar </w:t>
      </w:r>
      <w:r w:rsidRPr="00B0545F">
        <w:rPr>
          <w:rFonts w:cstheme="minorHAnsi"/>
          <w:color w:val="000000" w:themeColor="text1"/>
          <w:sz w:val="22"/>
          <w:szCs w:val="22"/>
          <w:shd w:val="clear" w:color="auto" w:fill="FFFFFF"/>
        </w:rPr>
        <w:t>recommendation was made if the Working Party believed that the evidence did not support the strong recommendation, and that the intervention was likely not to be beneficial, but could be used in some circumstances, for instance if no other options were available. This reflected a conditional recommendation against the intervention.</w:t>
      </w:r>
    </w:p>
    <w:p w14:paraId="2F8B5CEA" w14:textId="72977FC7" w:rsidR="0023406F" w:rsidRPr="00B0545F" w:rsidRDefault="0023406F" w:rsidP="00CF7116">
      <w:pPr>
        <w:pStyle w:val="ListParagraph"/>
        <w:numPr>
          <w:ilvl w:val="0"/>
          <w:numId w:val="17"/>
        </w:numPr>
        <w:spacing w:before="240" w:after="160" w:line="276" w:lineRule="auto"/>
        <w:jc w:val="both"/>
        <w:rPr>
          <w:rFonts w:cstheme="minorHAnsi"/>
          <w:color w:val="000000" w:themeColor="text1"/>
          <w:sz w:val="22"/>
          <w:szCs w:val="22"/>
          <w:shd w:val="clear" w:color="auto" w:fill="FFFFFF"/>
        </w:rPr>
      </w:pPr>
      <w:r>
        <w:rPr>
          <w:rFonts w:cstheme="minorHAnsi"/>
          <w:color w:val="000000" w:themeColor="text1"/>
          <w:sz w:val="22"/>
          <w:szCs w:val="22"/>
          <w:shd w:val="clear" w:color="auto" w:fill="FFFFFF"/>
        </w:rPr>
        <w:t xml:space="preserve">Good Practice Points were made when there was no evidence to support the recommendation but when the Working Party felt they </w:t>
      </w:r>
      <w:r w:rsidRPr="0023406F">
        <w:rPr>
          <w:rFonts w:cstheme="minorHAnsi"/>
          <w:color w:val="000000" w:themeColor="text1"/>
          <w:sz w:val="22"/>
          <w:szCs w:val="22"/>
          <w:shd w:val="clear" w:color="auto" w:fill="FFFFFF"/>
        </w:rPr>
        <w:t xml:space="preserve">may not have an evidence base, but which are considered essential </w:t>
      </w:r>
      <w:r>
        <w:rPr>
          <w:rFonts w:cstheme="minorHAnsi"/>
          <w:color w:val="000000" w:themeColor="text1"/>
          <w:sz w:val="22"/>
          <w:szCs w:val="22"/>
          <w:shd w:val="clear" w:color="auto" w:fill="FFFFFF"/>
        </w:rPr>
        <w:t xml:space="preserve">or beneficial </w:t>
      </w:r>
      <w:r w:rsidRPr="0023406F">
        <w:rPr>
          <w:rFonts w:cstheme="minorHAnsi"/>
          <w:color w:val="000000" w:themeColor="text1"/>
          <w:sz w:val="22"/>
          <w:szCs w:val="22"/>
          <w:shd w:val="clear" w:color="auto" w:fill="FFFFFF"/>
        </w:rPr>
        <w:t>to good clinical practice</w:t>
      </w:r>
      <w:r>
        <w:rPr>
          <w:rFonts w:cstheme="minorHAnsi"/>
          <w:color w:val="000000" w:themeColor="text1"/>
          <w:sz w:val="22"/>
          <w:szCs w:val="22"/>
          <w:shd w:val="clear" w:color="auto" w:fill="FFFFFF"/>
        </w:rPr>
        <w:t xml:space="preserve">. </w:t>
      </w:r>
    </w:p>
    <w:p w14:paraId="66AB7056" w14:textId="77777777" w:rsidR="00B0545F" w:rsidRPr="008C3140" w:rsidRDefault="00B0545F" w:rsidP="00CF7116">
      <w:pPr>
        <w:spacing w:before="240" w:line="276" w:lineRule="auto"/>
        <w:jc w:val="both"/>
        <w:rPr>
          <w:color w:val="000000" w:themeColor="text1"/>
          <w:shd w:val="clear" w:color="auto" w:fill="FFFFFF"/>
        </w:rPr>
      </w:pPr>
    </w:p>
    <w:p w14:paraId="0E722676" w14:textId="395501B3" w:rsidR="005810F6" w:rsidRPr="00555B31" w:rsidRDefault="0023406F" w:rsidP="00CF7116">
      <w:pPr>
        <w:pStyle w:val="Heading2"/>
        <w:spacing w:before="240" w:after="160" w:line="276" w:lineRule="auto"/>
        <w:rPr>
          <w:shd w:val="clear" w:color="auto" w:fill="FFFFFF"/>
        </w:rPr>
      </w:pPr>
      <w:bookmarkStart w:id="6" w:name="_Hlk85110745"/>
      <w:r>
        <w:rPr>
          <w:shd w:val="clear" w:color="auto" w:fill="FFFFFF"/>
        </w:rPr>
        <w:t>7</w:t>
      </w:r>
      <w:r w:rsidR="004D288B">
        <w:rPr>
          <w:shd w:val="clear" w:color="auto" w:fill="FFFFFF"/>
        </w:rPr>
        <w:t xml:space="preserve">.6 </w:t>
      </w:r>
      <w:r w:rsidR="005810F6" w:rsidRPr="00555B31">
        <w:rPr>
          <w:shd w:val="clear" w:color="auto" w:fill="FFFFFF"/>
        </w:rPr>
        <w:t>Consultation process</w:t>
      </w:r>
    </w:p>
    <w:bookmarkEnd w:id="6"/>
    <w:p w14:paraId="71EFB406" w14:textId="7992711A" w:rsidR="007C7BBC" w:rsidRDefault="00786529" w:rsidP="00CF7116">
      <w:pPr>
        <w:spacing w:before="240" w:line="276" w:lineRule="auto"/>
        <w:jc w:val="both"/>
        <w:rPr>
          <w:color w:val="000000" w:themeColor="text1"/>
          <w:shd w:val="clear" w:color="auto" w:fill="FFFFFF"/>
        </w:rPr>
      </w:pPr>
      <w:r w:rsidRPr="008C3140">
        <w:rPr>
          <w:color w:val="000000" w:themeColor="text1"/>
          <w:shd w:val="clear" w:color="auto" w:fill="FFFFFF"/>
        </w:rPr>
        <w:t xml:space="preserve">Feedback on draft </w:t>
      </w:r>
      <w:r w:rsidR="0023406F" w:rsidRPr="0023406F">
        <w:rPr>
          <w:color w:val="000000" w:themeColor="text1"/>
          <w:shd w:val="clear" w:color="auto" w:fill="FFFFFF"/>
        </w:rPr>
        <w:t>guidelines</w:t>
      </w:r>
      <w:r w:rsidRPr="008C3140">
        <w:rPr>
          <w:color w:val="000000" w:themeColor="text1"/>
          <w:shd w:val="clear" w:color="auto" w:fill="FFFFFF"/>
        </w:rPr>
        <w:t xml:space="preserve"> was received from the</w:t>
      </w:r>
      <w:r w:rsidR="00B0545F">
        <w:rPr>
          <w:color w:val="000000" w:themeColor="text1"/>
          <w:shd w:val="clear" w:color="auto" w:fill="FFFFFF"/>
        </w:rPr>
        <w:t xml:space="preserve"> participating organisations </w:t>
      </w:r>
      <w:r w:rsidR="00FB2632">
        <w:rPr>
          <w:color w:val="000000" w:themeColor="text1"/>
          <w:shd w:val="clear" w:color="auto" w:fill="FFFFFF"/>
        </w:rPr>
        <w:t xml:space="preserve">and </w:t>
      </w:r>
      <w:r w:rsidR="008A100B">
        <w:rPr>
          <w:color w:val="000000" w:themeColor="text1"/>
          <w:shd w:val="clear" w:color="auto" w:fill="FFFFFF"/>
        </w:rPr>
        <w:t>through</w:t>
      </w:r>
      <w:r w:rsidR="005810F6" w:rsidRPr="008C3140">
        <w:rPr>
          <w:color w:val="000000" w:themeColor="text1"/>
          <w:shd w:val="clear" w:color="auto" w:fill="FFFFFF"/>
        </w:rPr>
        <w:t xml:space="preserve"> consultation with relevant stakeholders</w:t>
      </w:r>
      <w:r w:rsidR="000B3661">
        <w:rPr>
          <w:color w:val="000000" w:themeColor="text1"/>
          <w:shd w:val="clear" w:color="auto" w:fill="FFFFFF"/>
        </w:rPr>
        <w:t>.</w:t>
      </w:r>
      <w:r w:rsidR="000B3661" w:rsidRPr="006F5BEB">
        <w:rPr>
          <w:shd w:val="clear" w:color="auto" w:fill="FFFFFF"/>
        </w:rPr>
        <w:t xml:space="preserve"> The draft report </w:t>
      </w:r>
      <w:r w:rsidR="00834A73" w:rsidRPr="006F5BEB">
        <w:rPr>
          <w:shd w:val="clear" w:color="auto" w:fill="FFFFFF"/>
        </w:rPr>
        <w:t xml:space="preserve">and standard comments form </w:t>
      </w:r>
      <w:r w:rsidR="000B3661" w:rsidRPr="006F5BEB">
        <w:rPr>
          <w:shd w:val="clear" w:color="auto" w:fill="FFFFFF"/>
        </w:rPr>
        <w:t>w</w:t>
      </w:r>
      <w:r w:rsidR="00834A73" w:rsidRPr="006F5BEB">
        <w:rPr>
          <w:shd w:val="clear" w:color="auto" w:fill="FFFFFF"/>
        </w:rPr>
        <w:t>ere</w:t>
      </w:r>
      <w:r w:rsidR="000B3661" w:rsidRPr="006F5BEB">
        <w:rPr>
          <w:shd w:val="clear" w:color="auto" w:fill="FFFFFF"/>
        </w:rPr>
        <w:t xml:space="preserve"> placed on </w:t>
      </w:r>
      <w:r w:rsidR="00540459" w:rsidRPr="006F5BEB">
        <w:rPr>
          <w:shd w:val="clear" w:color="auto" w:fill="FFFFFF"/>
        </w:rPr>
        <w:t xml:space="preserve">the </w:t>
      </w:r>
      <w:r w:rsidR="000B3661" w:rsidRPr="006F5BEB">
        <w:rPr>
          <w:shd w:val="clear" w:color="auto" w:fill="FFFFFF"/>
        </w:rPr>
        <w:t>HIS website</w:t>
      </w:r>
      <w:r w:rsidR="005810F6" w:rsidRPr="006F5BEB">
        <w:rPr>
          <w:shd w:val="clear" w:color="auto" w:fill="FFFFFF"/>
        </w:rPr>
        <w:t xml:space="preserve"> </w:t>
      </w:r>
      <w:r w:rsidR="00FB2632" w:rsidRPr="006F5BEB">
        <w:rPr>
          <w:shd w:val="clear" w:color="auto" w:fill="FFFFFF"/>
        </w:rPr>
        <w:t xml:space="preserve">for </w:t>
      </w:r>
      <w:r w:rsidR="004908DD" w:rsidRPr="00AC0F9C">
        <w:t>four</w:t>
      </w:r>
      <w:r w:rsidR="0023406F" w:rsidRPr="00AC0F9C">
        <w:t xml:space="preserve"> weeks</w:t>
      </w:r>
      <w:r w:rsidR="000B3661" w:rsidRPr="006F5BEB">
        <w:rPr>
          <w:shd w:val="clear" w:color="auto" w:fill="FFFFFF"/>
        </w:rPr>
        <w:t>.</w:t>
      </w:r>
      <w:r w:rsidR="00FB2632" w:rsidRPr="006F5BEB">
        <w:rPr>
          <w:shd w:val="clear" w:color="auto" w:fill="FFFFFF"/>
        </w:rPr>
        <w:t xml:space="preserve"> </w:t>
      </w:r>
      <w:r w:rsidR="000B3661">
        <w:rPr>
          <w:color w:val="000000" w:themeColor="text1"/>
          <w:shd w:val="clear" w:color="auto" w:fill="FFFFFF"/>
        </w:rPr>
        <w:t xml:space="preserve">The availability of the draft was advertised via email and social media. Stakeholders </w:t>
      </w:r>
      <w:r w:rsidR="005810F6" w:rsidRPr="008C3140">
        <w:rPr>
          <w:color w:val="000000" w:themeColor="text1"/>
          <w:shd w:val="clear" w:color="auto" w:fill="FFFFFF"/>
        </w:rPr>
        <w:t xml:space="preserve">were invited </w:t>
      </w:r>
      <w:r w:rsidR="000B3661">
        <w:rPr>
          <w:color w:val="000000" w:themeColor="text1"/>
          <w:shd w:val="clear" w:color="auto" w:fill="FFFFFF"/>
        </w:rPr>
        <w:t xml:space="preserve">to comment </w:t>
      </w:r>
      <w:r w:rsidR="005810F6" w:rsidRPr="008C3140">
        <w:rPr>
          <w:color w:val="000000" w:themeColor="text1"/>
          <w:shd w:val="clear" w:color="auto" w:fill="FFFFFF"/>
        </w:rPr>
        <w:t>on format, content, local applicability, patient acceptability, and recommendations.</w:t>
      </w:r>
      <w:r w:rsidR="00FB2632">
        <w:rPr>
          <w:color w:val="000000" w:themeColor="text1"/>
          <w:shd w:val="clear" w:color="auto" w:fill="FFFFFF"/>
        </w:rPr>
        <w:t xml:space="preserve"> </w:t>
      </w:r>
      <w:r w:rsidR="005810F6" w:rsidRPr="008C3140">
        <w:rPr>
          <w:color w:val="000000" w:themeColor="text1"/>
          <w:shd w:val="clear" w:color="auto" w:fill="FFFFFF"/>
        </w:rPr>
        <w:t xml:space="preserve">The </w:t>
      </w:r>
      <w:r w:rsidR="00540459">
        <w:rPr>
          <w:color w:val="000000" w:themeColor="text1"/>
          <w:shd w:val="clear" w:color="auto" w:fill="FFFFFF"/>
        </w:rPr>
        <w:t>Working Party</w:t>
      </w:r>
      <w:r w:rsidR="005810F6" w:rsidRPr="008C3140">
        <w:rPr>
          <w:color w:val="000000" w:themeColor="text1"/>
          <w:shd w:val="clear" w:color="auto" w:fill="FFFFFF"/>
        </w:rPr>
        <w:t xml:space="preserve"> reviewed stakeholder comments, and </w:t>
      </w:r>
      <w:r w:rsidR="005810F6" w:rsidRPr="00A85352">
        <w:rPr>
          <w:color w:val="000000" w:themeColor="text1"/>
          <w:shd w:val="clear" w:color="auto" w:fill="FFFFFF"/>
        </w:rPr>
        <w:t>collectively agreed revisions</w:t>
      </w:r>
      <w:r w:rsidR="000B3661" w:rsidRPr="00A85352">
        <w:rPr>
          <w:color w:val="000000" w:themeColor="text1"/>
          <w:shd w:val="clear" w:color="auto" w:fill="FFFFFF"/>
        </w:rPr>
        <w:t xml:space="preserve"> (</w:t>
      </w:r>
      <w:r w:rsidR="001B5B6D">
        <w:rPr>
          <w:color w:val="000000" w:themeColor="text1"/>
          <w:shd w:val="clear" w:color="auto" w:fill="FFFFFF"/>
        </w:rPr>
        <w:t xml:space="preserve">Supplementary </w:t>
      </w:r>
      <w:r w:rsidR="007940B1">
        <w:rPr>
          <w:color w:val="000000" w:themeColor="text1"/>
          <w:shd w:val="clear" w:color="auto" w:fill="FFFFFF"/>
        </w:rPr>
        <w:t>M</w:t>
      </w:r>
      <w:r w:rsidR="001B5B6D">
        <w:rPr>
          <w:color w:val="000000" w:themeColor="text1"/>
          <w:shd w:val="clear" w:color="auto" w:fill="FFFFFF"/>
        </w:rPr>
        <w:t xml:space="preserve">aterials </w:t>
      </w:r>
      <w:r w:rsidR="007940B1">
        <w:rPr>
          <w:color w:val="000000" w:themeColor="text1"/>
          <w:shd w:val="clear" w:color="auto" w:fill="FFFFFF"/>
        </w:rPr>
        <w:t xml:space="preserve">file </w:t>
      </w:r>
      <w:r w:rsidR="00786DA8">
        <w:rPr>
          <w:color w:val="000000" w:themeColor="text1"/>
          <w:shd w:val="clear" w:color="auto" w:fill="FFFFFF"/>
        </w:rPr>
        <w:t>C</w:t>
      </w:r>
      <w:r w:rsidR="000B3661" w:rsidRPr="00A85352">
        <w:rPr>
          <w:color w:val="000000" w:themeColor="text1"/>
          <w:shd w:val="clear" w:color="auto" w:fill="FFFFFF"/>
        </w:rPr>
        <w:t>)</w:t>
      </w:r>
      <w:r w:rsidR="005810F6" w:rsidRPr="00A85352">
        <w:rPr>
          <w:color w:val="000000" w:themeColor="text1"/>
          <w:shd w:val="clear" w:color="auto" w:fill="FFFFFF"/>
        </w:rPr>
        <w:t>.</w:t>
      </w:r>
      <w:r w:rsidR="00FB2632" w:rsidRPr="00A85352">
        <w:rPr>
          <w:color w:val="000000" w:themeColor="text1"/>
          <w:shd w:val="clear" w:color="auto" w:fill="FFFFFF"/>
        </w:rPr>
        <w:t xml:space="preserve"> </w:t>
      </w:r>
      <w:r w:rsidR="00540459" w:rsidRPr="00A85352">
        <w:rPr>
          <w:color w:val="000000" w:themeColor="text1"/>
          <w:shd w:val="clear" w:color="auto" w:fill="FFFFFF"/>
        </w:rPr>
        <w:t>All</w:t>
      </w:r>
      <w:r w:rsidR="000B3661" w:rsidRPr="00A85352">
        <w:rPr>
          <w:color w:val="000000" w:themeColor="text1"/>
          <w:shd w:val="clear" w:color="auto" w:fill="FFFFFF"/>
        </w:rPr>
        <w:t xml:space="preserve"> reviews received from individuals with </w:t>
      </w:r>
      <w:r w:rsidR="00540459" w:rsidRPr="00A85352">
        <w:rPr>
          <w:color w:val="000000" w:themeColor="text1"/>
          <w:shd w:val="clear" w:color="auto" w:fill="FFFFFF"/>
        </w:rPr>
        <w:t>a</w:t>
      </w:r>
      <w:r w:rsidR="000B3661" w:rsidRPr="00A85352">
        <w:rPr>
          <w:color w:val="000000" w:themeColor="text1"/>
          <w:shd w:val="clear" w:color="auto" w:fill="FFFFFF"/>
        </w:rPr>
        <w:t xml:space="preserve"> conflict of</w:t>
      </w:r>
      <w:r w:rsidR="000B3661" w:rsidRPr="000B3661">
        <w:rPr>
          <w:color w:val="000000" w:themeColor="text1"/>
          <w:shd w:val="clear" w:color="auto" w:fill="FFFFFF"/>
        </w:rPr>
        <w:t xml:space="preserve"> interest or those who did not provide a declaration </w:t>
      </w:r>
      <w:r w:rsidR="000B3661">
        <w:rPr>
          <w:color w:val="000000" w:themeColor="text1"/>
          <w:shd w:val="clear" w:color="auto" w:fill="FFFFFF"/>
        </w:rPr>
        <w:t>wer</w:t>
      </w:r>
      <w:r w:rsidR="000B3661" w:rsidRPr="000B3661">
        <w:rPr>
          <w:color w:val="000000" w:themeColor="text1"/>
          <w:shd w:val="clear" w:color="auto" w:fill="FFFFFF"/>
        </w:rPr>
        <w:t>e excluded</w:t>
      </w:r>
      <w:r w:rsidR="000B3661">
        <w:rPr>
          <w:color w:val="000000" w:themeColor="text1"/>
          <w:shd w:val="clear" w:color="auto" w:fill="FFFFFF"/>
        </w:rPr>
        <w:t xml:space="preserve">. </w:t>
      </w:r>
    </w:p>
    <w:p w14:paraId="061B1B68" w14:textId="16CD02A8" w:rsidR="004A64D1" w:rsidRDefault="004A64D1" w:rsidP="00CF7116">
      <w:pPr>
        <w:pStyle w:val="Heading1"/>
        <w:numPr>
          <w:ilvl w:val="0"/>
          <w:numId w:val="27"/>
        </w:numPr>
        <w:spacing w:after="160" w:line="276" w:lineRule="auto"/>
      </w:pPr>
      <w:r w:rsidRPr="00555B31">
        <w:t>R</w:t>
      </w:r>
      <w:r w:rsidR="0023406F">
        <w:t>ationale for recommendations</w:t>
      </w:r>
    </w:p>
    <w:p w14:paraId="51EBA8F8" w14:textId="7DF9260D" w:rsidR="0023406F" w:rsidRDefault="00E758C0" w:rsidP="00CF7116">
      <w:pPr>
        <w:pStyle w:val="Heading2"/>
        <w:spacing w:before="240" w:after="160" w:line="276" w:lineRule="auto"/>
      </w:pPr>
      <w:r>
        <w:t>8.1</w:t>
      </w:r>
      <w:r w:rsidRPr="00E758C0">
        <w:tab/>
        <w:t xml:space="preserve">What is </w:t>
      </w:r>
      <w:r w:rsidR="00B26870">
        <w:t>the</w:t>
      </w:r>
      <w:r w:rsidRPr="00E758C0">
        <w:t xml:space="preserve"> role of building design in the occurrence of norovirus outbreaks?</w:t>
      </w:r>
    </w:p>
    <w:p w14:paraId="7A1C405B" w14:textId="5B2739FE" w:rsidR="00E758C0" w:rsidRPr="00E758C0" w:rsidRDefault="00E758C0" w:rsidP="00CF7116">
      <w:pPr>
        <w:spacing w:line="276" w:lineRule="auto"/>
        <w:rPr>
          <w:b/>
        </w:rPr>
      </w:pPr>
      <w:r w:rsidRPr="00E758C0">
        <w:t>There are inherent properties in building, ward and room design which can either have a primary effect on transmission or a secondary effect by modifying behaviour. Ensuring a layout with appropriate ventilation and minimizing horizontal surfaces are thought to decrease transmission. In addition, using materials which are easy to clean</w:t>
      </w:r>
      <w:r w:rsidR="002760FE">
        <w:t>,</w:t>
      </w:r>
      <w:r w:rsidRPr="00E758C0">
        <w:t xml:space="preserve"> and installing no</w:t>
      </w:r>
      <w:r w:rsidR="002760FE">
        <w:t>-</w:t>
      </w:r>
      <w:r w:rsidRPr="00E758C0">
        <w:t>touch devi</w:t>
      </w:r>
      <w:r>
        <w:t>c</w:t>
      </w:r>
      <w:r w:rsidRPr="00E758C0">
        <w:t>es for operating doors or lights may all help to reduce environmental transmission. Not only the number of handwash stations but also their positioning</w:t>
      </w:r>
      <w:r>
        <w:t>,</w:t>
      </w:r>
      <w:r w:rsidRPr="00E758C0">
        <w:t xml:space="preserve"> encourages appropriate hand hygiene. Hospital design should include sufficient side rooms with en</w:t>
      </w:r>
      <w:r w:rsidR="006C356B">
        <w:t>-</w:t>
      </w:r>
      <w:r w:rsidRPr="00E758C0">
        <w:t>suite bathroom</w:t>
      </w:r>
      <w:r w:rsidR="001E450D">
        <w:t>s</w:t>
      </w:r>
      <w:r w:rsidRPr="00E758C0">
        <w:t xml:space="preserve"> for suspected and confirmed </w:t>
      </w:r>
      <w:r>
        <w:t xml:space="preserve">infectious </w:t>
      </w:r>
      <w:r w:rsidRPr="00E758C0">
        <w:t xml:space="preserve">cases. These </w:t>
      </w:r>
      <w:r>
        <w:t>are recommended</w:t>
      </w:r>
      <w:r w:rsidRPr="00E758C0">
        <w:t xml:space="preserve"> not only in ward settings but also in assessment areas such as </w:t>
      </w:r>
      <w:r w:rsidR="002760FE">
        <w:t>accident and emergency (A&amp;E) departments</w:t>
      </w:r>
      <w:r w:rsidRPr="00E758C0">
        <w:t xml:space="preserve"> and medical assessment units.</w:t>
      </w:r>
      <w:r>
        <w:t xml:space="preserve"> </w:t>
      </w:r>
      <w:r w:rsidRPr="00E758C0">
        <w:t xml:space="preserve">In a ward setting, an assessment about the needs of the population being cared for is needed to help determine the correct ratio of side rooms. This </w:t>
      </w:r>
      <w:r>
        <w:t>would</w:t>
      </w:r>
      <w:r w:rsidRPr="00E758C0">
        <w:t xml:space="preserve"> allow for balancing the benefits of side room</w:t>
      </w:r>
      <w:r w:rsidR="001E450D">
        <w:t>s</w:t>
      </w:r>
      <w:r w:rsidRPr="00E758C0">
        <w:t xml:space="preserve"> (infection control) against the harms of individual rooms (increased risk of falls seen, unmet social need in long stay patients). Flexibility in design, both on the ward</w:t>
      </w:r>
      <w:r w:rsidR="00364DC7">
        <w:t>/unit</w:t>
      </w:r>
      <w:r w:rsidRPr="00E758C0">
        <w:t xml:space="preserve"> and </w:t>
      </w:r>
      <w:r w:rsidR="001E450D">
        <w:t xml:space="preserve">at </w:t>
      </w:r>
      <w:r w:rsidRPr="00E758C0">
        <w:t xml:space="preserve">hospital level </w:t>
      </w:r>
      <w:r>
        <w:t>may be</w:t>
      </w:r>
      <w:r w:rsidRPr="00E758C0">
        <w:t xml:space="preserve"> important </w:t>
      </w:r>
      <w:r>
        <w:t>so that the institutions have the</w:t>
      </w:r>
      <w:r w:rsidRPr="00E758C0">
        <w:t xml:space="preserve"> ability to adjust side room capacity depending on need at the time. </w:t>
      </w:r>
      <w:r>
        <w:t>It is generally accepted that multi-occupancy rooms carry a higher risk of transmission between the occupants</w:t>
      </w:r>
      <w:r w:rsidR="002760FE">
        <w:t>. P</w:t>
      </w:r>
      <w:r>
        <w:t xml:space="preserve">revious </w:t>
      </w:r>
      <w:r w:rsidR="002760FE">
        <w:t xml:space="preserve">UK </w:t>
      </w:r>
      <w:r>
        <w:t>guidelines</w:t>
      </w:r>
      <w:r w:rsidR="00AC0F9C" w:rsidRPr="00AC0F9C">
        <w:rPr>
          <w:vertAlign w:val="superscript"/>
        </w:rPr>
        <w:t>1</w:t>
      </w:r>
      <w:r w:rsidRPr="002760FE">
        <w:t xml:space="preserve"> </w:t>
      </w:r>
      <w:r>
        <w:t>recommended that e</w:t>
      </w:r>
      <w:r w:rsidRPr="00E758C0">
        <w:t>very opportunity should be taken within plans for new builds and refurbishment</w:t>
      </w:r>
      <w:r>
        <w:t>/</w:t>
      </w:r>
      <w:r w:rsidRPr="00E758C0">
        <w:t>renovation to maximise the ability to control outbreaks</w:t>
      </w:r>
      <w:r>
        <w:t xml:space="preserve"> and that these should </w:t>
      </w:r>
      <w:r w:rsidRPr="00E758C0">
        <w:t>includ</w:t>
      </w:r>
      <w:r>
        <w:t>e</w:t>
      </w:r>
      <w:r w:rsidRPr="00E758C0">
        <w:t xml:space="preserve"> adequate provision of single occupancy rooms and bays with doors.</w:t>
      </w:r>
      <w:r w:rsidR="002760FE">
        <w:t xml:space="preserve"> However, this recommendation was not based on the published evidence which explored whether and how the building design contributes to the initiation and the progression of norovirus outbreaks and whether adapting the building design could help to prevent or control the outbreaks. </w:t>
      </w:r>
    </w:p>
    <w:p w14:paraId="7EA61045" w14:textId="47ABCB82" w:rsidR="00E758C0" w:rsidRDefault="00E758C0" w:rsidP="00CF7116">
      <w:pPr>
        <w:spacing w:before="240" w:line="276" w:lineRule="auto"/>
      </w:pPr>
      <w:r w:rsidRPr="0095272F">
        <w:t xml:space="preserve">There was </w:t>
      </w:r>
      <w:r w:rsidRPr="00E758C0">
        <w:t>moderate evidence</w:t>
      </w:r>
      <w:r>
        <w:t xml:space="preserve"> of risk associated with multi-occupancy rooms from one prospective cohort,</w:t>
      </w:r>
      <w:r w:rsidRPr="00C65704">
        <w:rPr>
          <w:vertAlign w:val="superscript"/>
        </w:rPr>
        <w:t>1</w:t>
      </w:r>
      <w:r w:rsidR="00AC0F9C">
        <w:rPr>
          <w:vertAlign w:val="superscript"/>
        </w:rPr>
        <w:t>0</w:t>
      </w:r>
      <w:r>
        <w:t xml:space="preserve"> one UBA,</w:t>
      </w:r>
      <w:r w:rsidR="00AC0F9C">
        <w:rPr>
          <w:vertAlign w:val="superscript"/>
        </w:rPr>
        <w:t>11</w:t>
      </w:r>
      <w:r>
        <w:t xml:space="preserve"> one case-control,</w:t>
      </w:r>
      <w:r w:rsidR="00AC0F9C">
        <w:rPr>
          <w:vertAlign w:val="superscript"/>
        </w:rPr>
        <w:t>12</w:t>
      </w:r>
      <w:r>
        <w:t xml:space="preserve"> one cross-sectional</w:t>
      </w:r>
      <w:r w:rsidR="00AC0F9C">
        <w:rPr>
          <w:vertAlign w:val="superscript"/>
        </w:rPr>
        <w:t>13</w:t>
      </w:r>
      <w:r>
        <w:t xml:space="preserve"> and one outbreak study.</w:t>
      </w:r>
      <w:r w:rsidR="00AC0F9C">
        <w:rPr>
          <w:vertAlign w:val="superscript"/>
        </w:rPr>
        <w:t>14</w:t>
      </w:r>
      <w:r w:rsidRPr="00C65704">
        <w:t xml:space="preserve"> </w:t>
      </w:r>
      <w:r>
        <w:t>All studies reported that multi</w:t>
      </w:r>
      <w:r w:rsidR="006C356B">
        <w:t>-</w:t>
      </w:r>
      <w:r>
        <w:t>occupancy rooms were associated with an increased risk of transmission of norovirus. One study,</w:t>
      </w:r>
      <w:r w:rsidRPr="00C65704">
        <w:rPr>
          <w:vertAlign w:val="superscript"/>
        </w:rPr>
        <w:t>1</w:t>
      </w:r>
      <w:r w:rsidR="00AC0F9C">
        <w:rPr>
          <w:vertAlign w:val="superscript"/>
        </w:rPr>
        <w:t>0</w:t>
      </w:r>
      <w:r>
        <w:t xml:space="preserve"> which conducted surveillance in six hospitals in one NHS Trust over a three-month period during </w:t>
      </w:r>
      <w:r w:rsidR="001E450D">
        <w:t xml:space="preserve">the </w:t>
      </w:r>
      <w:r>
        <w:t xml:space="preserve">norovirus season, reported that from a total of 20 outbreaks which occurred in the season, the majority of them (16, 80%, affecting a total of 44 patients) occurred in a hospital with Nightingale-style wards which only had 7% single-occupancy beds. This was also the only hospital which reported that staff were affected by norovirus. Of these 16 outbreaks, four (25%) </w:t>
      </w:r>
      <w:r>
        <w:lastRenderedPageBreak/>
        <w:t xml:space="preserve">were contained within one bay, </w:t>
      </w:r>
      <w:r w:rsidR="004908DD">
        <w:t>eleven</w:t>
      </w:r>
      <w:r>
        <w:t xml:space="preserve"> (69%) affected an entire ward and one (6%) affected multiple wards. In contrast, the hospital with the highest number of single beds (46%) experienced two outbreaks (two patients in each), which were contained within the same bay. There were two additional outbreaks in two other hospitals (number of single beds not reported) which affected three and six patients and there were two hospitals (number of single beds not reported) which did not experience any norovirus outbreaks during the three month study period. It is noteworthy that the data from laboratory testing showed that sporadic cases of norovirus were present in all hospitals throughout the study period. </w:t>
      </w:r>
      <w:r w:rsidRPr="00471143">
        <w:t>The authors concluded that in Nightingale-style wards</w:t>
      </w:r>
      <w:r>
        <w:t>,</w:t>
      </w:r>
      <w:r w:rsidRPr="00471143">
        <w:t xml:space="preserve"> outbreaks are more likely to occur</w:t>
      </w:r>
      <w:r>
        <w:t>,</w:t>
      </w:r>
      <w:r w:rsidRPr="00471143">
        <w:t xml:space="preserve"> and they are more difficult to control.</w:t>
      </w:r>
      <w:r>
        <w:t xml:space="preserve"> Another</w:t>
      </w:r>
      <w:r w:rsidRPr="00471143">
        <w:t xml:space="preserve"> study</w:t>
      </w:r>
      <w:r w:rsidR="00AC0F9C">
        <w:rPr>
          <w:vertAlign w:val="superscript"/>
        </w:rPr>
        <w:t>12</w:t>
      </w:r>
      <w:r w:rsidRPr="00471143">
        <w:t xml:space="preserve"> compared the data for risk factors from index cases wh</w:t>
      </w:r>
      <w:r w:rsidR="004908DD">
        <w:t>o</w:t>
      </w:r>
      <w:r w:rsidRPr="00471143">
        <w:t xml:space="preserve"> started an outbreak </w:t>
      </w:r>
      <w:r>
        <w:t>to</w:t>
      </w:r>
      <w:r w:rsidRPr="00471143">
        <w:t xml:space="preserve"> sporadic cases</w:t>
      </w:r>
      <w:r w:rsidR="004908DD">
        <w:t xml:space="preserve"> </w:t>
      </w:r>
      <w:r>
        <w:t>wh</w:t>
      </w:r>
      <w:r w:rsidR="004908DD">
        <w:t>o</w:t>
      </w:r>
      <w:r>
        <w:t xml:space="preserve"> did not </w:t>
      </w:r>
      <w:r w:rsidR="004908DD">
        <w:t>infect</w:t>
      </w:r>
      <w:r>
        <w:t xml:space="preserve"> others. The study was conducted</w:t>
      </w:r>
      <w:r w:rsidRPr="00471143">
        <w:t xml:space="preserve"> during three norovirus winter seasons in hospitals. The authors </w:t>
      </w:r>
      <w:r>
        <w:t>reported</w:t>
      </w:r>
      <w:r w:rsidRPr="00471143">
        <w:t xml:space="preserve"> that the number of patients in the room was the most prominent factor for outbreak occurrence</w:t>
      </w:r>
      <w:r>
        <w:t xml:space="preserve">, and that in the multivariate analysis, the presence of each additional patient was associated with </w:t>
      </w:r>
      <w:r w:rsidR="001E450D">
        <w:t>an</w:t>
      </w:r>
      <w:r>
        <w:t xml:space="preserve"> increased risk of outbreak occurrence (OR 1.9 [95% CI 1.3-2.6], p&lt;0.01). A similar study,</w:t>
      </w:r>
      <w:r w:rsidR="00AC0F9C">
        <w:rPr>
          <w:vertAlign w:val="superscript"/>
        </w:rPr>
        <w:t>13</w:t>
      </w:r>
      <w:r>
        <w:t xml:space="preserve"> which was undertaken in hospitals over five norovirus seasons, reported that being cared for in a double room was not associated with </w:t>
      </w:r>
      <w:r w:rsidR="001E450D">
        <w:t>an</w:t>
      </w:r>
      <w:r>
        <w:t xml:space="preserve"> increased risk of norovirus infection (OR </w:t>
      </w:r>
      <w:r w:rsidRPr="00471143">
        <w:t>1.69 [</w:t>
      </w:r>
      <w:r>
        <w:t xml:space="preserve">CI 95% </w:t>
      </w:r>
      <w:r w:rsidRPr="00471143">
        <w:t>0.99-2.9]</w:t>
      </w:r>
      <w:r>
        <w:t>, p=0.06)</w:t>
      </w:r>
      <w:r w:rsidR="00B26870">
        <w:t>.</w:t>
      </w:r>
      <w:r>
        <w:t xml:space="preserve"> </w:t>
      </w:r>
      <w:r w:rsidR="00B26870">
        <w:t>H</w:t>
      </w:r>
      <w:r>
        <w:t>owever</w:t>
      </w:r>
      <w:r w:rsidR="00B26870">
        <w:t>,</w:t>
      </w:r>
      <w:r>
        <w:t xml:space="preserve"> being in the same room with </w:t>
      </w:r>
      <w:r w:rsidR="00B26870">
        <w:t>a</w:t>
      </w:r>
      <w:r>
        <w:t xml:space="preserve"> roommate who had ongoing norovirus symptoms</w:t>
      </w:r>
      <w:r w:rsidR="00B26870">
        <w:t>,</w:t>
      </w:r>
      <w:r>
        <w:t xml:space="preserve"> or whose symptoms </w:t>
      </w:r>
      <w:r w:rsidR="00B26870">
        <w:t xml:space="preserve">had </w:t>
      </w:r>
      <w:r>
        <w:t>resolved less than 48 hours previously</w:t>
      </w:r>
      <w:r w:rsidR="00B26870">
        <w:t>,</w:t>
      </w:r>
      <w:r>
        <w:t xml:space="preserve"> was associated with an increased risk. In the multivariate analysis which was adjusted for age, colonisation pressure and care in multioccupancy rooms, having a roommate with norovirus symptoms was the only significant factor which was associated with </w:t>
      </w:r>
      <w:r w:rsidR="00B26870">
        <w:t>an</w:t>
      </w:r>
      <w:r>
        <w:t xml:space="preserve"> increased risk of infection (OR </w:t>
      </w:r>
      <w:r w:rsidRPr="00471143">
        <w:t>25.2 [</w:t>
      </w:r>
      <w:r>
        <w:t xml:space="preserve">CI 95% </w:t>
      </w:r>
      <w:r w:rsidRPr="00471143">
        <w:t>7.8-81.6]</w:t>
      </w:r>
      <w:r>
        <w:t>, p&lt;0.01). The authors also mentioned that the risk of infection increased with the exposure time (data not reported). One UBA study</w:t>
      </w:r>
      <w:r w:rsidR="00AC0F9C">
        <w:rPr>
          <w:vertAlign w:val="superscript"/>
        </w:rPr>
        <w:t>11</w:t>
      </w:r>
      <w:r>
        <w:t xml:space="preserve"> did not report data on norovirus infections but they mentioned that single occupancy rooms were beneficial because they resulted in less ward closures (one in year 1 and four in year two after moving to a building with more single beds vs 21, 34 and 13 in </w:t>
      </w:r>
      <w:r w:rsidR="001E450D">
        <w:t xml:space="preserve">the </w:t>
      </w:r>
      <w:r>
        <w:t>three years before the move) and fewer beds lost due to norovirus outbreaks (57 vs 172 beds lost per 100,000 bed days respectively). Finally, one study,</w:t>
      </w:r>
      <w:r w:rsidR="00AC0F9C">
        <w:rPr>
          <w:vertAlign w:val="superscript"/>
        </w:rPr>
        <w:t>14</w:t>
      </w:r>
      <w:r>
        <w:t xml:space="preserve"> which reported an outbreak involving 173 cases, lasting 54 days in multiple wards in one hospital and costing </w:t>
      </w:r>
      <w:r w:rsidRPr="003F123A">
        <w:t>£341,534</w:t>
      </w:r>
      <w:r>
        <w:t xml:space="preserve">, concluded </w:t>
      </w:r>
      <w:r w:rsidRPr="00471143">
        <w:t>that</w:t>
      </w:r>
      <w:r w:rsidR="00B26870">
        <w:t xml:space="preserve"> a</w:t>
      </w:r>
      <w:r w:rsidRPr="00471143">
        <w:t xml:space="preserve"> Nightingale</w:t>
      </w:r>
      <w:r w:rsidR="001E450D">
        <w:t>-</w:t>
      </w:r>
      <w:r w:rsidRPr="00471143">
        <w:t>style of ward was one of the reasons why the outbreak continued</w:t>
      </w:r>
      <w:r>
        <w:t xml:space="preserve"> and was difficult to control</w:t>
      </w:r>
      <w:r w:rsidRPr="00471143">
        <w:t>. This style</w:t>
      </w:r>
      <w:r>
        <w:t xml:space="preserve"> of ward</w:t>
      </w:r>
      <w:r w:rsidRPr="00471143">
        <w:t xml:space="preserve"> made some interventions ineffective </w:t>
      </w:r>
      <w:r>
        <w:t>and</w:t>
      </w:r>
      <w:r w:rsidRPr="00471143">
        <w:t xml:space="preserve"> required specialist recommendations </w:t>
      </w:r>
      <w:r>
        <w:t>(e.g.</w:t>
      </w:r>
      <w:r w:rsidRPr="00471143">
        <w:t xml:space="preserve"> ward closures were not effective </w:t>
      </w:r>
      <w:r>
        <w:t>and</w:t>
      </w:r>
      <w:r w:rsidRPr="00471143">
        <w:t xml:space="preserve"> required the entire floor closures since the wards shared some facilities </w:t>
      </w:r>
      <w:r>
        <w:t>such as</w:t>
      </w:r>
      <w:r w:rsidRPr="00471143">
        <w:t xml:space="preserve"> kitchen, dining areas, toilets </w:t>
      </w:r>
      <w:r>
        <w:t>and</w:t>
      </w:r>
      <w:r w:rsidRPr="00471143">
        <w:t xml:space="preserve"> hand washing </w:t>
      </w:r>
      <w:r>
        <w:t>stations)</w:t>
      </w:r>
      <w:r w:rsidRPr="00471143">
        <w:t xml:space="preserve">. </w:t>
      </w:r>
      <w:r>
        <w:t>The authors also reported that b</w:t>
      </w:r>
      <w:r w:rsidRPr="00471143">
        <w:t xml:space="preserve">arrier nursing </w:t>
      </w:r>
      <w:r>
        <w:t xml:space="preserve">in Nightingale-style wards was </w:t>
      </w:r>
      <w:r w:rsidRPr="00471143">
        <w:t xml:space="preserve">difficult, </w:t>
      </w:r>
      <w:r>
        <w:t xml:space="preserve">and that </w:t>
      </w:r>
      <w:r w:rsidRPr="00471143">
        <w:t xml:space="preserve">isolation or cohorting by bay </w:t>
      </w:r>
      <w:r>
        <w:t xml:space="preserve">was </w:t>
      </w:r>
      <w:r w:rsidRPr="00471143">
        <w:t>not</w:t>
      </w:r>
      <w:r>
        <w:t xml:space="preserve"> always</w:t>
      </w:r>
      <w:r w:rsidRPr="00471143">
        <w:t xml:space="preserve"> possible. </w:t>
      </w:r>
      <w:r>
        <w:t>It wa</w:t>
      </w:r>
      <w:r w:rsidRPr="00471143">
        <w:t xml:space="preserve">s </w:t>
      </w:r>
      <w:r>
        <w:t xml:space="preserve">also </w:t>
      </w:r>
      <w:r w:rsidRPr="00471143">
        <w:t>reported that reducing bed capacity to increase the space between the beds was one of the successful interventions</w:t>
      </w:r>
      <w:r>
        <w:t xml:space="preserve"> which eventually led to outbreak resolution</w:t>
      </w:r>
      <w:r w:rsidRPr="00471143">
        <w:t>.</w:t>
      </w:r>
    </w:p>
    <w:p w14:paraId="43CB3475" w14:textId="1A87B84F" w:rsidR="00E758C0" w:rsidRDefault="00E758C0" w:rsidP="00CF7116">
      <w:pPr>
        <w:spacing w:before="240" w:line="276" w:lineRule="auto"/>
      </w:pPr>
      <w:r w:rsidRPr="0095272F">
        <w:t xml:space="preserve">There was </w:t>
      </w:r>
      <w:r w:rsidRPr="00E758C0">
        <w:t>weak evidence</w:t>
      </w:r>
      <w:r>
        <w:t xml:space="preserve"> of benefit from one UBA study</w:t>
      </w:r>
      <w:r w:rsidR="00AC0F9C">
        <w:rPr>
          <w:vertAlign w:val="superscript"/>
        </w:rPr>
        <w:t>15</w:t>
      </w:r>
      <w:r>
        <w:t xml:space="preserve"> which assessed the effectiveness of installing bay doors in hospital wards. This was a quality improvement project which aimed to reduce the effect of the outbreaks. The authors reported that a </w:t>
      </w:r>
      <w:r w:rsidR="00B26870">
        <w:t>number of</w:t>
      </w:r>
      <w:r>
        <w:t xml:space="preserve"> </w:t>
      </w:r>
      <w:r w:rsidR="00B26870">
        <w:t xml:space="preserve">different </w:t>
      </w:r>
      <w:r>
        <w:t>interventions were introduced, and that the installation of the bay doors</w:t>
      </w:r>
      <w:r w:rsidR="00B26870" w:rsidRPr="00B26870">
        <w:t xml:space="preserve"> </w:t>
      </w:r>
      <w:r w:rsidR="00B26870">
        <w:t>was the most important improvement. They stated that</w:t>
      </w:r>
      <w:r>
        <w:t xml:space="preserve"> windows </w:t>
      </w:r>
      <w:r w:rsidR="00B26870">
        <w:t xml:space="preserve">were also installed </w:t>
      </w:r>
      <w:r>
        <w:t xml:space="preserve">so that the patients could </w:t>
      </w:r>
      <w:r w:rsidR="00B26870">
        <w:t xml:space="preserve">still </w:t>
      </w:r>
      <w:r>
        <w:t>be seen from the nursing station</w:t>
      </w:r>
      <w:r w:rsidR="00B26870">
        <w:t xml:space="preserve"> and </w:t>
      </w:r>
      <w:r w:rsidR="001E450D">
        <w:t xml:space="preserve">that </w:t>
      </w:r>
      <w:r w:rsidR="00B26870">
        <w:t>their care was not compromised as a result of this conversion</w:t>
      </w:r>
      <w:r>
        <w:t xml:space="preserve">. Other interventions included more support from </w:t>
      </w:r>
      <w:r w:rsidR="00B26870">
        <w:t xml:space="preserve">the </w:t>
      </w:r>
      <w:r>
        <w:t xml:space="preserve">IPC team, staff and patient cohorting (as opposed to staff restrictions and ward closures before) and improved communication. The authors reported that the </w:t>
      </w:r>
      <w:r>
        <w:lastRenderedPageBreak/>
        <w:t xml:space="preserve">relative change in the ratio of confirmed hospital outbreaks to community outbreaks per month was </w:t>
      </w:r>
      <w:r w:rsidRPr="00783564">
        <w:t>0.317 [</w:t>
      </w:r>
      <w:r>
        <w:t xml:space="preserve">CI 95% </w:t>
      </w:r>
      <w:r w:rsidRPr="00783564">
        <w:t>0.129-0.778</w:t>
      </w:r>
      <w:r>
        <w:t>, p=0.025</w:t>
      </w:r>
      <w:r w:rsidRPr="00783564">
        <w:t>]</w:t>
      </w:r>
      <w:r>
        <w:t xml:space="preserve"> in the year after improvements took place when compared to a year before the improvement. The median number of patients and staff affected by outbreak remained the same (ratio of expected counts: 1.080 [CI 95% 0.85-1.370], p=0.517 and 0.651 [CI 95% 0.386-1.096], p=0.105 respectively), the decreased incidence of outbreaks resulted in </w:t>
      </w:r>
      <w:r w:rsidR="00B26870">
        <w:t>a</w:t>
      </w:r>
      <w:r>
        <w:t xml:space="preserve"> decreased number of days of restricted admission (ratio of expected counts: 0.742 [CI 95% 0.558-0.987], p=0.041) as well as the number of bed days lost </w:t>
      </w:r>
      <w:r w:rsidR="00B26870">
        <w:t>(</w:t>
      </w:r>
      <w:r>
        <w:t xml:space="preserve">ratio of expected counts: 0.344 [CI 95% 0.189-0.628], p=0.001). </w:t>
      </w:r>
    </w:p>
    <w:p w14:paraId="65A83D0D" w14:textId="4ACD2038" w:rsidR="00E758C0" w:rsidRDefault="00E758C0" w:rsidP="00CF7116">
      <w:pPr>
        <w:spacing w:before="240" w:line="276" w:lineRule="auto"/>
      </w:pPr>
      <w:r w:rsidRPr="0095272F">
        <w:t xml:space="preserve">There was </w:t>
      </w:r>
      <w:r w:rsidRPr="00E758C0">
        <w:t>weak evidence</w:t>
      </w:r>
      <w:r>
        <w:t xml:space="preserve"> of benefit from one case control study reported in two articles</w:t>
      </w:r>
      <w:r w:rsidR="00AC0F9C">
        <w:rPr>
          <w:vertAlign w:val="superscript"/>
        </w:rPr>
        <w:t>16/17</w:t>
      </w:r>
      <w:r w:rsidR="00AC0F9C" w:rsidRPr="00AC0F9C">
        <w:t xml:space="preserve"> </w:t>
      </w:r>
      <w:r>
        <w:t xml:space="preserve">which assessed the effect of partitions between the beds on the risk of norovirus outbreaks in care homes for older people. The authors reported </w:t>
      </w:r>
      <w:r w:rsidRPr="00783564">
        <w:t xml:space="preserve">that </w:t>
      </w:r>
      <w:r>
        <w:t>the presence of p</w:t>
      </w:r>
      <w:r w:rsidRPr="00783564">
        <w:t>artitions between beds was the only significant protective factor in</w:t>
      </w:r>
      <w:r w:rsidR="00B26870">
        <w:t xml:space="preserve"> a</w:t>
      </w:r>
      <w:r w:rsidRPr="00783564">
        <w:t xml:space="preserve"> multivariate analysis</w:t>
      </w:r>
      <w:r>
        <w:t xml:space="preserve"> (RR 0.6 [CI 95% 0.4-0.8], p=0.002)</w:t>
      </w:r>
      <w:r w:rsidRPr="00783564">
        <w:t xml:space="preserve">. </w:t>
      </w:r>
    </w:p>
    <w:p w14:paraId="318889E9" w14:textId="6F460ADD" w:rsidR="00A93D8D" w:rsidRDefault="00A93D8D" w:rsidP="00CF7116">
      <w:pPr>
        <w:spacing w:before="240" w:line="276" w:lineRule="auto"/>
        <w:rPr>
          <w:i/>
          <w:iCs/>
        </w:rPr>
      </w:pPr>
      <w:r>
        <w:rPr>
          <w:i/>
          <w:iCs/>
        </w:rPr>
        <w:t>The Working Party discussed the above</w:t>
      </w:r>
      <w:r w:rsidR="00B26870" w:rsidRPr="00B26870">
        <w:rPr>
          <w:i/>
          <w:iCs/>
        </w:rPr>
        <w:t xml:space="preserve"> evidence</w:t>
      </w:r>
      <w:r>
        <w:rPr>
          <w:i/>
          <w:iCs/>
        </w:rPr>
        <w:t xml:space="preserve"> </w:t>
      </w:r>
      <w:r w:rsidR="001E450D">
        <w:rPr>
          <w:i/>
          <w:iCs/>
        </w:rPr>
        <w:t xml:space="preserve">and </w:t>
      </w:r>
      <w:r>
        <w:rPr>
          <w:i/>
          <w:iCs/>
        </w:rPr>
        <w:t xml:space="preserve">concluded that particular hospital/unit layouts play a role in norovirus outbreak prevention or control. However, there is currently insufficient evidence to recommend particular designs or justify that any changes to current layouts should be made. </w:t>
      </w:r>
      <w:r w:rsidRPr="00B26870">
        <w:rPr>
          <w:i/>
          <w:iCs/>
        </w:rPr>
        <w:t xml:space="preserve">It </w:t>
      </w:r>
      <w:r>
        <w:rPr>
          <w:i/>
          <w:iCs/>
        </w:rPr>
        <w:t>may be a</w:t>
      </w:r>
      <w:r w:rsidRPr="00B26870">
        <w:rPr>
          <w:i/>
          <w:iCs/>
        </w:rPr>
        <w:t xml:space="preserve"> good practice to include as many single rooms as feasible </w:t>
      </w:r>
      <w:r>
        <w:rPr>
          <w:i/>
          <w:iCs/>
        </w:rPr>
        <w:t xml:space="preserve">if new buildings are built but there is no evidence that the current building designs should be adapted to include more single rooms. Thus, the Working Party refrained from making any recommendations about the building design. There is some evidence that installing partitions and/or doors at the bay entry may provide some benefit. The Working Party also discussed a potential role of flexible designs which could be adapted to the future needs of the facility or the ward/unit. All members agreed that individual institutions should perform a risk assessment and, where feasible, consider making some changes to mitigate the risk of norovirus transmission between patients. </w:t>
      </w:r>
    </w:p>
    <w:p w14:paraId="4AFC822E" w14:textId="77777777" w:rsidR="00E758C0" w:rsidRPr="00A93D8D" w:rsidRDefault="00E758C0" w:rsidP="00CF7116">
      <w:pPr>
        <w:spacing w:line="276" w:lineRule="auto"/>
        <w:rPr>
          <w:b/>
          <w:bCs/>
        </w:rPr>
      </w:pPr>
      <w:r w:rsidRPr="00A93D8D">
        <w:rPr>
          <w:b/>
          <w:bCs/>
        </w:rPr>
        <w:t>Recommendations:</w:t>
      </w:r>
    </w:p>
    <w:p w14:paraId="541AE9CA" w14:textId="077F6E4A" w:rsidR="00E758C0" w:rsidRPr="009E6247" w:rsidRDefault="00A93D8D" w:rsidP="00CF7116">
      <w:pPr>
        <w:spacing w:before="240" w:after="240" w:line="276" w:lineRule="auto"/>
      </w:pPr>
      <w:r w:rsidRPr="00A93D8D">
        <w:rPr>
          <w:b/>
          <w:bCs/>
        </w:rPr>
        <w:t>1.1:</w:t>
      </w:r>
      <w:r>
        <w:t xml:space="preserve"> </w:t>
      </w:r>
      <w:r w:rsidR="00E758C0">
        <w:t>No recommendation</w:t>
      </w:r>
    </w:p>
    <w:p w14:paraId="2787C460" w14:textId="77777777" w:rsidR="00E758C0" w:rsidRPr="00A93D8D" w:rsidRDefault="00E758C0" w:rsidP="00CF7116">
      <w:pPr>
        <w:spacing w:line="276" w:lineRule="auto"/>
        <w:rPr>
          <w:b/>
          <w:bCs/>
        </w:rPr>
      </w:pPr>
      <w:r w:rsidRPr="00A93D8D">
        <w:rPr>
          <w:b/>
          <w:bCs/>
        </w:rPr>
        <w:t>Good practice points:</w:t>
      </w:r>
    </w:p>
    <w:p w14:paraId="1E85501F" w14:textId="3949DD15" w:rsidR="00E758C0" w:rsidRDefault="00A93D8D" w:rsidP="00CF7116">
      <w:pPr>
        <w:spacing w:before="240" w:line="276" w:lineRule="auto"/>
      </w:pPr>
      <w:r w:rsidRPr="00A93D8D">
        <w:rPr>
          <w:b/>
          <w:bCs/>
        </w:rPr>
        <w:t>GPP</w:t>
      </w:r>
      <w:r w:rsidR="00953810">
        <w:rPr>
          <w:b/>
          <w:bCs/>
        </w:rPr>
        <w:t xml:space="preserve"> </w:t>
      </w:r>
      <w:r w:rsidRPr="00A93D8D">
        <w:rPr>
          <w:b/>
          <w:bCs/>
        </w:rPr>
        <w:t>1</w:t>
      </w:r>
      <w:r>
        <w:rPr>
          <w:b/>
          <w:bCs/>
        </w:rPr>
        <w:t>.1</w:t>
      </w:r>
      <w:r w:rsidRPr="00A93D8D">
        <w:rPr>
          <w:b/>
          <w:bCs/>
        </w:rPr>
        <w:t>:</w:t>
      </w:r>
      <w:r>
        <w:t xml:space="preserve"> Perform r</w:t>
      </w:r>
      <w:r w:rsidR="00E758C0">
        <w:t xml:space="preserve">isk assessment </w:t>
      </w:r>
      <w:r>
        <w:t xml:space="preserve">of the ward/unit to establish the risk of norovirus transmission between patients. </w:t>
      </w:r>
    </w:p>
    <w:p w14:paraId="7B5F8668" w14:textId="241922B5" w:rsidR="00E758C0" w:rsidRDefault="00A93D8D" w:rsidP="00CF7116">
      <w:pPr>
        <w:spacing w:before="240" w:line="276" w:lineRule="auto"/>
      </w:pPr>
      <w:r w:rsidRPr="00A93D8D">
        <w:rPr>
          <w:b/>
          <w:bCs/>
        </w:rPr>
        <w:t xml:space="preserve">GPP </w:t>
      </w:r>
      <w:r>
        <w:rPr>
          <w:b/>
          <w:bCs/>
        </w:rPr>
        <w:t>1.</w:t>
      </w:r>
      <w:r w:rsidRPr="00A93D8D">
        <w:rPr>
          <w:b/>
          <w:bCs/>
        </w:rPr>
        <w:t>2:</w:t>
      </w:r>
      <w:r>
        <w:t xml:space="preserve"> Where risk of transmission is high, c</w:t>
      </w:r>
      <w:r w:rsidR="00E758C0">
        <w:t xml:space="preserve">onsider </w:t>
      </w:r>
      <w:r>
        <w:t xml:space="preserve">making small changes to the ward/unit layout e.g. installing </w:t>
      </w:r>
      <w:r w:rsidR="00E758C0">
        <w:t>partitions, bay doors</w:t>
      </w:r>
      <w:r>
        <w:t xml:space="preserve"> or including</w:t>
      </w:r>
      <w:r w:rsidR="00E758C0">
        <w:t xml:space="preserve"> flexible designs</w:t>
      </w:r>
      <w:r>
        <w:t xml:space="preserve">. </w:t>
      </w:r>
    </w:p>
    <w:p w14:paraId="1AB4391F" w14:textId="61B34E63" w:rsidR="00E758C0" w:rsidRPr="009E6247" w:rsidRDefault="00A93D8D" w:rsidP="00CF7116">
      <w:pPr>
        <w:spacing w:before="240" w:line="276" w:lineRule="auto"/>
      </w:pPr>
      <w:r w:rsidRPr="00A93D8D">
        <w:rPr>
          <w:b/>
          <w:bCs/>
        </w:rPr>
        <w:t>GPP</w:t>
      </w:r>
      <w:r w:rsidR="00953810">
        <w:rPr>
          <w:b/>
          <w:bCs/>
        </w:rPr>
        <w:t xml:space="preserve"> </w:t>
      </w:r>
      <w:r w:rsidRPr="00A93D8D">
        <w:rPr>
          <w:b/>
          <w:bCs/>
        </w:rPr>
        <w:t>1.3:</w:t>
      </w:r>
      <w:r>
        <w:t xml:space="preserve"> </w:t>
      </w:r>
      <w:r w:rsidR="00E758C0">
        <w:t xml:space="preserve">Assess individual risk </w:t>
      </w:r>
      <w:r>
        <w:t xml:space="preserve">of norovirus infection to the patient and consider additional control measures for patients at the highest risk (i.e. those who are immunocompromised). </w:t>
      </w:r>
    </w:p>
    <w:p w14:paraId="4D4B90D4" w14:textId="51110FA8" w:rsidR="00E758C0" w:rsidRDefault="00E758C0" w:rsidP="00CF7116">
      <w:pPr>
        <w:pStyle w:val="Heading2"/>
        <w:spacing w:before="240" w:after="160" w:line="276" w:lineRule="auto"/>
      </w:pPr>
      <w:r>
        <w:t>8.2</w:t>
      </w:r>
      <w:r w:rsidRPr="00E758C0">
        <w:tab/>
        <w:t>What is the clinical and cost effectiveness of preparing for an outbreak of norovirus?</w:t>
      </w:r>
    </w:p>
    <w:p w14:paraId="16928C9B" w14:textId="688B34B8" w:rsidR="00E758C0" w:rsidRDefault="00E758C0" w:rsidP="00CF7116">
      <w:pPr>
        <w:spacing w:before="240" w:line="276" w:lineRule="auto"/>
      </w:pPr>
      <w:r>
        <w:t>All services registered under the Health and Social Care Act 2008 are expected to have a policy for the control of outbreaks of communicable infections (governed in England by the Care Quality Commission</w:t>
      </w:r>
      <w:r w:rsidR="005834C7">
        <w:t>, CQC</w:t>
      </w:r>
      <w:r>
        <w:t>)</w:t>
      </w:r>
      <w:r w:rsidR="00EC2985">
        <w:t>.</w:t>
      </w:r>
      <w:r>
        <w:t xml:space="preserve"> </w:t>
      </w:r>
      <w:r w:rsidR="00EC2985">
        <w:t>T</w:t>
      </w:r>
      <w:r>
        <w:t xml:space="preserve">hese are often developed through the </w:t>
      </w:r>
      <w:r w:rsidR="005834C7">
        <w:t>IPC</w:t>
      </w:r>
      <w:r>
        <w:t xml:space="preserve"> </w:t>
      </w:r>
      <w:r w:rsidR="005834C7">
        <w:t>t</w:t>
      </w:r>
      <w:r>
        <w:t>eam.</w:t>
      </w:r>
      <w:r w:rsidR="00EC2985">
        <w:t xml:space="preserve"> </w:t>
      </w:r>
      <w:r>
        <w:t xml:space="preserve">Outbreaks of norovirus can </w:t>
      </w:r>
      <w:r>
        <w:lastRenderedPageBreak/>
        <w:t>considerably disrupt delivery of services to patients. Closure of hospitals and care/nursing homes can have an indirect effect on other</w:t>
      </w:r>
      <w:r w:rsidR="00EC2985">
        <w:t xml:space="preserve"> facilities</w:t>
      </w:r>
      <w:r>
        <w:t xml:space="preserve">. </w:t>
      </w:r>
      <w:r w:rsidR="00EC2985">
        <w:t>Thus, all facilities</w:t>
      </w:r>
      <w:r>
        <w:t xml:space="preserve"> need to ensure minimal disruption to services </w:t>
      </w:r>
      <w:r w:rsidR="00EC2985">
        <w:t>by</w:t>
      </w:r>
      <w:r>
        <w:t xml:space="preserve"> develop</w:t>
      </w:r>
      <w:r w:rsidR="00EC2985">
        <w:t>ing</w:t>
      </w:r>
      <w:r>
        <w:t xml:space="preserve"> plans for use in outbreak situations. </w:t>
      </w:r>
      <w:r w:rsidR="00EC2985">
        <w:t>It is however no</w:t>
      </w:r>
      <w:r w:rsidR="000A5F10">
        <w:t>t</w:t>
      </w:r>
      <w:r w:rsidR="00EC2985">
        <w:t xml:space="preserve"> clear what these plans should include and how they impact </w:t>
      </w:r>
      <w:r w:rsidR="000A5F10">
        <w:t xml:space="preserve">on </w:t>
      </w:r>
      <w:r w:rsidR="00EC2985">
        <w:t xml:space="preserve">outbreak progression. </w:t>
      </w:r>
      <w:r w:rsidR="00AC0F9C">
        <w:t>P</w:t>
      </w:r>
      <w:r w:rsidR="00EC2985">
        <w:t>revious guidelines</w:t>
      </w:r>
      <w:r w:rsidR="00AC0F9C" w:rsidRPr="00AC0F9C">
        <w:rPr>
          <w:vertAlign w:val="superscript"/>
        </w:rPr>
        <w:t>1</w:t>
      </w:r>
      <w:r w:rsidR="00EC2985">
        <w:t xml:space="preserve"> stated that o</w:t>
      </w:r>
      <w:r w:rsidR="00EC2985" w:rsidRPr="00EC2985">
        <w:t>rganisations must develop systematic business continuity plans for use in outbreak situations</w:t>
      </w:r>
      <w:r w:rsidR="00EC2985">
        <w:t xml:space="preserve"> and that t</w:t>
      </w:r>
      <w:r w:rsidR="00EC2985" w:rsidRPr="00EC2985">
        <w:t>he plan</w:t>
      </w:r>
      <w:r w:rsidR="000A5F10">
        <w:t>s</w:t>
      </w:r>
      <w:r w:rsidR="00EC2985" w:rsidRPr="00EC2985">
        <w:t xml:space="preserve"> should include actions for safe environments, staffing, information, surveillance, communications and leadership</w:t>
      </w:r>
      <w:r w:rsidR="000A5F10">
        <w:t>,</w:t>
      </w:r>
      <w:r w:rsidR="00EC2985">
        <w:t xml:space="preserve"> although none of these recommendations were supported by relevant evidence from published literature. </w:t>
      </w:r>
    </w:p>
    <w:p w14:paraId="48390660" w14:textId="0EAC70CD" w:rsidR="008B6FC2" w:rsidRDefault="008B6FC2" w:rsidP="00CF7116">
      <w:pPr>
        <w:spacing w:before="240" w:line="276" w:lineRule="auto"/>
      </w:pPr>
      <w:r w:rsidRPr="0095272F">
        <w:t>There</w:t>
      </w:r>
      <w:r w:rsidRPr="00EC2985">
        <w:t xml:space="preserve"> </w:t>
      </w:r>
      <w:r w:rsidR="00EC2985">
        <w:t xml:space="preserve">was </w:t>
      </w:r>
      <w:r w:rsidRPr="00EC2985">
        <w:t>weak</w:t>
      </w:r>
      <w:r>
        <w:t xml:space="preserve"> </w:t>
      </w:r>
      <w:r w:rsidR="000A5F10">
        <w:t xml:space="preserve">evidence </w:t>
      </w:r>
      <w:r>
        <w:t xml:space="preserve">of benefit from one </w:t>
      </w:r>
      <w:r w:rsidR="00E2003E">
        <w:t>UBA</w:t>
      </w:r>
      <w:r>
        <w:t xml:space="preserve"> study</w:t>
      </w:r>
      <w:r w:rsidRPr="00227F28">
        <w:rPr>
          <w:vertAlign w:val="superscript"/>
        </w:rPr>
        <w:t>1</w:t>
      </w:r>
      <w:r w:rsidR="004D4728">
        <w:rPr>
          <w:vertAlign w:val="superscript"/>
        </w:rPr>
        <w:t>8</w:t>
      </w:r>
      <w:r>
        <w:t xml:space="preserve"> and one outbreak report</w:t>
      </w:r>
      <w:r w:rsidR="004D4728">
        <w:rPr>
          <w:vertAlign w:val="superscript"/>
        </w:rPr>
        <w:t>19</w:t>
      </w:r>
      <w:r>
        <w:t xml:space="preserve"> which assessed the effectiveness of preparedness for norovirus outbreaks on outbreak occurrence </w:t>
      </w:r>
      <w:r w:rsidR="00EC2985">
        <w:t xml:space="preserve">and </w:t>
      </w:r>
      <w:r>
        <w:t>the incidence of norovirus infection. One study</w:t>
      </w:r>
      <w:r w:rsidRPr="00227F28">
        <w:rPr>
          <w:vertAlign w:val="superscript"/>
        </w:rPr>
        <w:t>1</w:t>
      </w:r>
      <w:r w:rsidR="004D4728">
        <w:rPr>
          <w:vertAlign w:val="superscript"/>
        </w:rPr>
        <w:t>8</w:t>
      </w:r>
      <w:r>
        <w:t xml:space="preserve"> </w:t>
      </w:r>
      <w:r w:rsidRPr="00227F28">
        <w:t xml:space="preserve">used a </w:t>
      </w:r>
      <w:r>
        <w:t>Plan-Do-Study-Act (</w:t>
      </w:r>
      <w:r w:rsidRPr="00227F28">
        <w:t>PDSA</w:t>
      </w:r>
      <w:r>
        <w:t>)</w:t>
      </w:r>
      <w:r w:rsidRPr="00227F28">
        <w:t xml:space="preserve"> cycle model for introducing </w:t>
      </w:r>
      <w:r>
        <w:t>nationwide</w:t>
      </w:r>
      <w:r w:rsidRPr="00227F28">
        <w:t xml:space="preserve"> activities before the outbreaks occurred, based on the evaluation of experience of norovirus outbreaks from a previous winter season. The ‘plan’ phase included recommended actions that hospitals could undertake before and during the norovirus season, </w:t>
      </w:r>
      <w:r>
        <w:t xml:space="preserve">a </w:t>
      </w:r>
      <w:r w:rsidRPr="00227F28">
        <w:t xml:space="preserve">norovirus season start alert, a norovirus outbreak tracker, assistance with media messaging, and specific guidance on escalation plans. The ‘do’ phase </w:t>
      </w:r>
      <w:r>
        <w:t>involved the</w:t>
      </w:r>
      <w:r w:rsidRPr="00227F28">
        <w:t xml:space="preserve"> hospitals introducing these interventions </w:t>
      </w:r>
      <w:r w:rsidR="00EC2985">
        <w:t>with</w:t>
      </w:r>
      <w:r w:rsidRPr="00227F28">
        <w:t>in their setting</w:t>
      </w:r>
      <w:r>
        <w:t>s</w:t>
      </w:r>
      <w:r w:rsidRPr="00227F28">
        <w:t xml:space="preserve">. The ‘study’ phase was monitoring of the norovirus outbreaks during the winter seasons and </w:t>
      </w:r>
      <w:r>
        <w:t xml:space="preserve">the </w:t>
      </w:r>
      <w:r w:rsidRPr="00227F28">
        <w:t xml:space="preserve">‘act’ phase was learning from the results and subsequent planning for the next season (data for the next season not reported). A total of 15 NHS boards </w:t>
      </w:r>
      <w:r>
        <w:t xml:space="preserve">from Scotland </w:t>
      </w:r>
      <w:r w:rsidRPr="00227F28">
        <w:t xml:space="preserve">participated in the study. The authors reported that </w:t>
      </w:r>
      <w:r>
        <w:t>the number of wards closed due to norovirus outbreaks</w:t>
      </w:r>
      <w:r w:rsidRPr="00227F28">
        <w:t xml:space="preserve"> </w:t>
      </w:r>
      <w:r>
        <w:t>(a proxy measure for number of outbreaks) reduced from 759 in the year before the intervention to</w:t>
      </w:r>
      <w:r w:rsidRPr="00227F28">
        <w:t xml:space="preserve"> 307</w:t>
      </w:r>
      <w:r>
        <w:t xml:space="preserve"> in the year when preparedness was introduced. It was also reported that </w:t>
      </w:r>
      <w:r w:rsidRPr="00227F28">
        <w:t>there were 15 sudden peaks in ward closures before and only six after</w:t>
      </w:r>
      <w:r>
        <w:t xml:space="preserve"> that a</w:t>
      </w:r>
      <w:r w:rsidRPr="00227F28">
        <w:t xml:space="preserve">t the peak of </w:t>
      </w:r>
      <w:r>
        <w:t>norovirus</w:t>
      </w:r>
      <w:r w:rsidRPr="00227F28">
        <w:t xml:space="preserve"> season, </w:t>
      </w:r>
      <w:r w:rsidR="000A5F10">
        <w:t xml:space="preserve">and </w:t>
      </w:r>
      <w:r w:rsidRPr="00227F28">
        <w:t xml:space="preserve">there were 53 wards which were closed before the intervention and 25 after. The authors </w:t>
      </w:r>
      <w:r>
        <w:t xml:space="preserve">also </w:t>
      </w:r>
      <w:r w:rsidRPr="00227F28">
        <w:t xml:space="preserve">reported that preparedness enabled the hospitals to introduce the control measures early, </w:t>
      </w:r>
      <w:r>
        <w:t xml:space="preserve">and </w:t>
      </w:r>
      <w:r w:rsidRPr="00227F28">
        <w:t xml:space="preserve">in some instances these measures were </w:t>
      </w:r>
      <w:r>
        <w:t>in place</w:t>
      </w:r>
      <w:r w:rsidRPr="00227F28">
        <w:t xml:space="preserve"> before the outbreak was </w:t>
      </w:r>
      <w:r>
        <w:t>confirmed</w:t>
      </w:r>
      <w:r w:rsidRPr="00227F28">
        <w:t>.</w:t>
      </w:r>
      <w:r>
        <w:t xml:space="preserve"> Another study</w:t>
      </w:r>
      <w:r w:rsidR="004D4728">
        <w:rPr>
          <w:vertAlign w:val="superscript"/>
        </w:rPr>
        <w:t>19</w:t>
      </w:r>
      <w:r>
        <w:t xml:space="preserve"> reported two</w:t>
      </w:r>
      <w:r w:rsidRPr="00227F28">
        <w:t xml:space="preserve"> outbreaks </w:t>
      </w:r>
      <w:r>
        <w:t xml:space="preserve">which occurred </w:t>
      </w:r>
      <w:r w:rsidRPr="00227F28">
        <w:t>in a geriatric rehabilitation hospital within 18</w:t>
      </w:r>
      <w:r>
        <w:t xml:space="preserve"> </w:t>
      </w:r>
      <w:r w:rsidRPr="00227F28">
        <w:t>mont</w:t>
      </w:r>
      <w:r>
        <w:t>h</w:t>
      </w:r>
      <w:r w:rsidRPr="00227F28">
        <w:t>s</w:t>
      </w:r>
      <w:r>
        <w:t xml:space="preserve"> </w:t>
      </w:r>
      <w:r w:rsidR="00EC2985">
        <w:t>of</w:t>
      </w:r>
      <w:r>
        <w:t xml:space="preserve"> each other</w:t>
      </w:r>
      <w:r w:rsidRPr="00227F28">
        <w:t xml:space="preserve">. </w:t>
      </w:r>
      <w:r>
        <w:t>The authors reported that both outbreaks were</w:t>
      </w:r>
      <w:r w:rsidRPr="00227F28">
        <w:t xml:space="preserve"> contained within one ward</w:t>
      </w:r>
      <w:r>
        <w:t xml:space="preserve"> but </w:t>
      </w:r>
      <w:r w:rsidR="000A5F10">
        <w:t xml:space="preserve">that </w:t>
      </w:r>
      <w:r>
        <w:t>the first one involved more cases (41 vs 24 in a second outbreak).</w:t>
      </w:r>
      <w:r w:rsidRPr="00227F28">
        <w:t xml:space="preserve"> </w:t>
      </w:r>
      <w:r>
        <w:t>It was reported that</w:t>
      </w:r>
      <w:r w:rsidRPr="00227F28">
        <w:t xml:space="preserve"> due to previous experience and preparation, staff were able to act once they recognised a third case</w:t>
      </w:r>
      <w:r>
        <w:t xml:space="preserve"> of norovirus and that they </w:t>
      </w:r>
      <w:r w:rsidRPr="00227F28">
        <w:t xml:space="preserve">were able to implement some </w:t>
      </w:r>
      <w:r>
        <w:t xml:space="preserve">control </w:t>
      </w:r>
      <w:r w:rsidRPr="00227F28">
        <w:t xml:space="preserve">measures before </w:t>
      </w:r>
      <w:r w:rsidR="00EC2985">
        <w:t xml:space="preserve">an </w:t>
      </w:r>
      <w:r w:rsidRPr="00227F28">
        <w:t>IPC nurse was informed.</w:t>
      </w:r>
      <w:r>
        <w:t xml:space="preserve"> While the duration and the number of patients affected were comparable in both outbreaks (16 vs 13 patients and 14 vs 16 days in the first and second outbreak respectively), the number of staff affected by the outbreak was reduced (21 vs</w:t>
      </w:r>
      <w:r w:rsidR="001128A6">
        <w:t xml:space="preserve"> eleven </w:t>
      </w:r>
      <w:r>
        <w:t xml:space="preserve">in the first and second outbreak respectively) and the ward reopened earlier (data not reported), which resulted in less disruption to hospital activities for staff and patients. </w:t>
      </w:r>
    </w:p>
    <w:p w14:paraId="4EB679A0" w14:textId="4CCF9506" w:rsidR="008B6FC2" w:rsidRDefault="008B6FC2" w:rsidP="00CF7116">
      <w:pPr>
        <w:spacing w:before="240" w:line="276" w:lineRule="auto"/>
      </w:pPr>
      <w:r w:rsidRPr="0095272F">
        <w:t>No studies were found in</w:t>
      </w:r>
      <w:r>
        <w:t xml:space="preserve"> the existing </w:t>
      </w:r>
      <w:r w:rsidR="00FE349B">
        <w:t>literature that</w:t>
      </w:r>
      <w:r>
        <w:t xml:space="preserve"> assessed the cost of preparing for norovirus outbreak in any setting.</w:t>
      </w:r>
    </w:p>
    <w:p w14:paraId="4964C66B" w14:textId="51D8B3A4" w:rsidR="008B6FC2" w:rsidRDefault="008B6FC2" w:rsidP="00CF7116">
      <w:pPr>
        <w:spacing w:before="240" w:line="276" w:lineRule="auto"/>
      </w:pPr>
      <w:r w:rsidRPr="0095272F">
        <w:t>There was</w:t>
      </w:r>
      <w:r w:rsidR="00EC2985" w:rsidRPr="00EC2985">
        <w:t xml:space="preserve"> weak</w:t>
      </w:r>
      <w:r w:rsidR="00EC2985">
        <w:t xml:space="preserve"> evidence </w:t>
      </w:r>
      <w:r>
        <w:t xml:space="preserve">of benefit from one </w:t>
      </w:r>
      <w:r w:rsidR="00E2003E">
        <w:t>UBA</w:t>
      </w:r>
      <w:r>
        <w:t xml:space="preserve"> study</w:t>
      </w:r>
      <w:r w:rsidRPr="00227F28">
        <w:rPr>
          <w:vertAlign w:val="superscript"/>
        </w:rPr>
        <w:t>1</w:t>
      </w:r>
      <w:r w:rsidR="004D4728">
        <w:rPr>
          <w:vertAlign w:val="superscript"/>
        </w:rPr>
        <w:t>8</w:t>
      </w:r>
      <w:r w:rsidRPr="00227F28">
        <w:t xml:space="preserve"> </w:t>
      </w:r>
      <w:r>
        <w:t xml:space="preserve">which assessed the effect of preparedness for norovirus outbreaks in </w:t>
      </w:r>
      <w:r w:rsidR="000A5F10">
        <w:t xml:space="preserve">the </w:t>
      </w:r>
      <w:r>
        <w:t>healthcare setting on staff experience. The authors mentioned that all IPC teams participating in the study r</w:t>
      </w:r>
      <w:r w:rsidRPr="00227F28">
        <w:t>eported</w:t>
      </w:r>
      <w:r w:rsidR="00EC2985">
        <w:t xml:space="preserve"> a</w:t>
      </w:r>
      <w:r w:rsidRPr="00227F28">
        <w:t xml:space="preserve"> positive experience during the season when preparedness was in place</w:t>
      </w:r>
      <w:r>
        <w:t xml:space="preserve"> and that t</w:t>
      </w:r>
      <w:r w:rsidRPr="00227F28">
        <w:t>his was not limited to the reduced n</w:t>
      </w:r>
      <w:r w:rsidR="000A5F10">
        <w:t>umber</w:t>
      </w:r>
      <w:r w:rsidRPr="00227F28">
        <w:t xml:space="preserve"> of </w:t>
      </w:r>
      <w:r w:rsidRPr="00227F28">
        <w:lastRenderedPageBreak/>
        <w:t xml:space="preserve">outbreaks. </w:t>
      </w:r>
      <w:r>
        <w:t xml:space="preserve">The </w:t>
      </w:r>
      <w:r w:rsidRPr="00227F28">
        <w:t xml:space="preserve">IPC teams </w:t>
      </w:r>
      <w:r>
        <w:t xml:space="preserve">believed that with </w:t>
      </w:r>
      <w:r w:rsidR="00EC2985">
        <w:t>preparation</w:t>
      </w:r>
      <w:r>
        <w:t xml:space="preserve"> </w:t>
      </w:r>
      <w:r w:rsidRPr="00227F28">
        <w:t xml:space="preserve">the </w:t>
      </w:r>
      <w:r>
        <w:t xml:space="preserve">staff </w:t>
      </w:r>
      <w:r w:rsidRPr="00227F28">
        <w:t xml:space="preserve">attitude towards </w:t>
      </w:r>
      <w:r>
        <w:t>norovirus</w:t>
      </w:r>
      <w:r w:rsidRPr="00227F28">
        <w:t xml:space="preserve"> changed</w:t>
      </w:r>
      <w:r>
        <w:t xml:space="preserve"> and that there was</w:t>
      </w:r>
      <w:r w:rsidR="00EC2985">
        <w:t xml:space="preserve"> </w:t>
      </w:r>
      <w:r w:rsidRPr="00227F28">
        <w:t xml:space="preserve">better co-operation </w:t>
      </w:r>
      <w:r w:rsidR="00EC2985">
        <w:t>between</w:t>
      </w:r>
      <w:r w:rsidRPr="00227F28">
        <w:t xml:space="preserve"> IPC </w:t>
      </w:r>
      <w:r w:rsidR="00EC2985">
        <w:t>and</w:t>
      </w:r>
      <w:r w:rsidRPr="00227F28">
        <w:t xml:space="preserve"> </w:t>
      </w:r>
      <w:r>
        <w:t xml:space="preserve">ward </w:t>
      </w:r>
      <w:r w:rsidRPr="00227F28">
        <w:t>managers</w:t>
      </w:r>
      <w:r>
        <w:t xml:space="preserve"> during the outbreaks</w:t>
      </w:r>
      <w:r w:rsidRPr="00227F28">
        <w:t>.</w:t>
      </w:r>
      <w:r>
        <w:t xml:space="preserve"> The authors also reported that IPC teams commented on a previous season (data collected before an introduction of interventions) and that all teams reported only negative experience</w:t>
      </w:r>
      <w:r w:rsidR="000A5F10">
        <w:t>s</w:t>
      </w:r>
      <w:r>
        <w:t xml:space="preserve">. </w:t>
      </w:r>
    </w:p>
    <w:p w14:paraId="3A1CC1CD" w14:textId="37C2495F" w:rsidR="008B6FC2" w:rsidRDefault="008B6FC2" w:rsidP="00CF7116">
      <w:pPr>
        <w:spacing w:before="240" w:line="276" w:lineRule="auto"/>
      </w:pPr>
      <w:r w:rsidRPr="0095272F">
        <w:t>No studies were found in</w:t>
      </w:r>
      <w:r>
        <w:t xml:space="preserve"> the existing </w:t>
      </w:r>
      <w:r w:rsidR="00FE349B">
        <w:t>literature that</w:t>
      </w:r>
      <w:r>
        <w:t xml:space="preserve"> assessed the effect of preparing for norovirus outbreak on patient experience.</w:t>
      </w:r>
    </w:p>
    <w:p w14:paraId="7C43A186" w14:textId="4ABBEEA7" w:rsidR="008B6FC2" w:rsidRPr="00EC2985" w:rsidRDefault="00EC2985" w:rsidP="00CF7116">
      <w:pPr>
        <w:spacing w:before="240" w:line="276" w:lineRule="auto"/>
        <w:rPr>
          <w:i/>
          <w:iCs/>
        </w:rPr>
      </w:pPr>
      <w:r w:rsidRPr="00EC2985">
        <w:rPr>
          <w:i/>
          <w:iCs/>
        </w:rPr>
        <w:t>In light of the low quality of evidence, the W</w:t>
      </w:r>
      <w:r w:rsidR="00E44117">
        <w:rPr>
          <w:i/>
          <w:iCs/>
        </w:rPr>
        <w:t xml:space="preserve">orking </w:t>
      </w:r>
      <w:r w:rsidRPr="00EC2985">
        <w:rPr>
          <w:i/>
          <w:iCs/>
        </w:rPr>
        <w:t>P</w:t>
      </w:r>
      <w:r w:rsidR="00E44117">
        <w:rPr>
          <w:i/>
          <w:iCs/>
        </w:rPr>
        <w:t>arty</w:t>
      </w:r>
      <w:r w:rsidRPr="00EC2985">
        <w:rPr>
          <w:i/>
          <w:iCs/>
        </w:rPr>
        <w:t xml:space="preserve"> was unable to make any recommendations about preparation for norovirus outbreaks. However, the W</w:t>
      </w:r>
      <w:r w:rsidR="00E44117">
        <w:rPr>
          <w:i/>
          <w:iCs/>
        </w:rPr>
        <w:t xml:space="preserve">orking </w:t>
      </w:r>
      <w:r w:rsidRPr="00EC2985">
        <w:rPr>
          <w:i/>
          <w:iCs/>
        </w:rPr>
        <w:t>P</w:t>
      </w:r>
      <w:r w:rsidR="00E44117">
        <w:rPr>
          <w:i/>
          <w:iCs/>
        </w:rPr>
        <w:t>arty</w:t>
      </w:r>
      <w:r w:rsidRPr="00EC2985">
        <w:rPr>
          <w:i/>
          <w:iCs/>
        </w:rPr>
        <w:t xml:space="preserve"> felt that wherever possible, planning ahead for potential </w:t>
      </w:r>
      <w:r w:rsidR="00E44117">
        <w:rPr>
          <w:i/>
          <w:iCs/>
        </w:rPr>
        <w:t>norovirus</w:t>
      </w:r>
      <w:r w:rsidRPr="00EC2985">
        <w:rPr>
          <w:i/>
          <w:iCs/>
        </w:rPr>
        <w:t xml:space="preserve"> outbreaks was to be encouraged.</w:t>
      </w:r>
      <w:r>
        <w:rPr>
          <w:i/>
          <w:iCs/>
        </w:rPr>
        <w:t xml:space="preserve"> </w:t>
      </w:r>
      <w:r w:rsidRPr="00EC2985">
        <w:rPr>
          <w:i/>
          <w:iCs/>
        </w:rPr>
        <w:t xml:space="preserve">To the extent that this is feasible, IPC teams should plan ahead and prepare with </w:t>
      </w:r>
      <w:r w:rsidR="00364DC7">
        <w:rPr>
          <w:i/>
          <w:iCs/>
        </w:rPr>
        <w:t>health and social care</w:t>
      </w:r>
      <w:r w:rsidRPr="00EC2985">
        <w:rPr>
          <w:i/>
          <w:iCs/>
        </w:rPr>
        <w:t xml:space="preserve"> teams for potential </w:t>
      </w:r>
      <w:r w:rsidR="00E44117">
        <w:rPr>
          <w:i/>
          <w:iCs/>
        </w:rPr>
        <w:t>norovirus</w:t>
      </w:r>
      <w:r w:rsidRPr="00EC2985">
        <w:rPr>
          <w:i/>
          <w:iCs/>
        </w:rPr>
        <w:t xml:space="preserve"> outbreaks.</w:t>
      </w:r>
      <w:r w:rsidR="00E44117">
        <w:rPr>
          <w:i/>
          <w:iCs/>
        </w:rPr>
        <w:t xml:space="preserve"> Preparation may include reminders about the periods of heightened incidence, providing training and education so that staff are able to recognise potential outbreaks in a timely manner and having plans in place for prompt communication with IPC team and an introduction of initial control measures. </w:t>
      </w:r>
    </w:p>
    <w:p w14:paraId="49987988" w14:textId="77777777" w:rsidR="008B6FC2" w:rsidRPr="00E44117" w:rsidRDefault="008B6FC2" w:rsidP="00CF7116">
      <w:pPr>
        <w:spacing w:line="276" w:lineRule="auto"/>
        <w:rPr>
          <w:b/>
          <w:bCs/>
        </w:rPr>
      </w:pPr>
      <w:r w:rsidRPr="00E44117">
        <w:rPr>
          <w:b/>
          <w:bCs/>
        </w:rPr>
        <w:t>Recommendations:</w:t>
      </w:r>
    </w:p>
    <w:p w14:paraId="797B26F3" w14:textId="5DC7170F" w:rsidR="008B6FC2" w:rsidRPr="009E6247" w:rsidRDefault="00E44117" w:rsidP="00CF7116">
      <w:pPr>
        <w:spacing w:before="240" w:line="276" w:lineRule="auto"/>
      </w:pPr>
      <w:r w:rsidRPr="00E44117">
        <w:rPr>
          <w:b/>
          <w:bCs/>
        </w:rPr>
        <w:t>2.1:</w:t>
      </w:r>
      <w:r>
        <w:t xml:space="preserve"> No recommendation.</w:t>
      </w:r>
    </w:p>
    <w:p w14:paraId="04924299" w14:textId="77777777" w:rsidR="008B6FC2" w:rsidRPr="00E44117" w:rsidRDefault="008B6FC2" w:rsidP="00CF7116">
      <w:pPr>
        <w:spacing w:line="276" w:lineRule="auto"/>
        <w:rPr>
          <w:b/>
          <w:bCs/>
        </w:rPr>
      </w:pPr>
      <w:r w:rsidRPr="00E44117">
        <w:rPr>
          <w:b/>
          <w:bCs/>
        </w:rPr>
        <w:t>Good practice points:</w:t>
      </w:r>
    </w:p>
    <w:p w14:paraId="1AB7FD11" w14:textId="76C7C2C8" w:rsidR="00EC2985" w:rsidRDefault="00E44117" w:rsidP="00CF7116">
      <w:pPr>
        <w:spacing w:before="240" w:line="276" w:lineRule="auto"/>
        <w:rPr>
          <w:b/>
        </w:rPr>
      </w:pPr>
      <w:r w:rsidRPr="00E44117">
        <w:rPr>
          <w:b/>
          <w:bCs/>
        </w:rPr>
        <w:t>GPP</w:t>
      </w:r>
      <w:r w:rsidR="00953810">
        <w:rPr>
          <w:b/>
          <w:bCs/>
        </w:rPr>
        <w:t xml:space="preserve"> </w:t>
      </w:r>
      <w:r w:rsidRPr="00E44117">
        <w:rPr>
          <w:b/>
          <w:bCs/>
        </w:rPr>
        <w:t>2.1:</w:t>
      </w:r>
      <w:r>
        <w:t xml:space="preserve"> Wherever possible, p</w:t>
      </w:r>
      <w:r w:rsidR="00EC2985" w:rsidRPr="00EC2985">
        <w:t xml:space="preserve">repare </w:t>
      </w:r>
      <w:r>
        <w:t xml:space="preserve">staff </w:t>
      </w:r>
      <w:r w:rsidR="00EC2985" w:rsidRPr="00EC2985">
        <w:t xml:space="preserve">for </w:t>
      </w:r>
      <w:r>
        <w:t>potential norovirus</w:t>
      </w:r>
      <w:r w:rsidR="00EC2985" w:rsidRPr="00EC2985">
        <w:t xml:space="preserve"> outbreaks</w:t>
      </w:r>
      <w:r>
        <w:t xml:space="preserve"> by providing </w:t>
      </w:r>
      <w:r w:rsidR="00EC2985" w:rsidRPr="00EC2985">
        <w:t>remind</w:t>
      </w:r>
      <w:r>
        <w:t xml:space="preserve">ers, </w:t>
      </w:r>
      <w:r w:rsidR="00EC2985" w:rsidRPr="00EC2985">
        <w:t>training</w:t>
      </w:r>
      <w:r w:rsidR="000A5F10">
        <w:t xml:space="preserve"> and </w:t>
      </w:r>
      <w:r w:rsidR="00EC2985" w:rsidRPr="00EC2985">
        <w:t>education</w:t>
      </w:r>
      <w:r>
        <w:t xml:space="preserve"> so that staff</w:t>
      </w:r>
      <w:r w:rsidR="00EC2985" w:rsidRPr="00EC2985">
        <w:t xml:space="preserve"> </w:t>
      </w:r>
      <w:r>
        <w:t>are</w:t>
      </w:r>
      <w:r w:rsidR="00EC2985" w:rsidRPr="00EC2985">
        <w:t xml:space="preserve"> able to act quickly</w:t>
      </w:r>
      <w:r>
        <w:t xml:space="preserve">. </w:t>
      </w:r>
    </w:p>
    <w:p w14:paraId="3A90A7BF" w14:textId="3B102C9D" w:rsidR="00E758C0" w:rsidRDefault="00E758C0" w:rsidP="00CF7116">
      <w:pPr>
        <w:pStyle w:val="Heading2"/>
        <w:spacing w:before="240" w:after="160" w:line="276" w:lineRule="auto"/>
      </w:pPr>
      <w:r>
        <w:t>8.3</w:t>
      </w:r>
      <w:r w:rsidRPr="00E758C0">
        <w:tab/>
        <w:t>What is the clinical and cost-effectiveness of avoiding admission/</w:t>
      </w:r>
      <w:r>
        <w:t xml:space="preserve"> </w:t>
      </w:r>
      <w:r w:rsidRPr="00E758C0">
        <w:t>incarceration of the individuals who are suspected or confirmed to be infected by norovirus?</w:t>
      </w:r>
    </w:p>
    <w:p w14:paraId="00809502" w14:textId="3D35153E" w:rsidR="00E758C0" w:rsidRPr="000E42B4" w:rsidRDefault="000E42B4" w:rsidP="00CF7116">
      <w:pPr>
        <w:spacing w:before="240" w:line="276" w:lineRule="auto"/>
        <w:rPr>
          <w:rFonts w:cstheme="minorHAnsi"/>
          <w:color w:val="000000"/>
          <w:shd w:val="clear" w:color="auto" w:fill="FFFFFF"/>
        </w:rPr>
      </w:pPr>
      <w:r w:rsidRPr="000E42B4">
        <w:rPr>
          <w:rFonts w:cstheme="minorHAnsi"/>
          <w:color w:val="000000"/>
          <w:shd w:val="clear" w:color="auto" w:fill="FFFFFF"/>
        </w:rPr>
        <w:t>An increase of cases of norovirus in institutions usually reflects an increased incidence of these infections in the community. Therefore, by minimising the number of individuals being admitted, it may be possible to minimise secondary infection clusters in different institutions. Admission avoidance (also known as hospital at home), where active treatment is provided by healthcare professionals in the patient's home</w:t>
      </w:r>
      <w:r w:rsidR="000A5F10">
        <w:rPr>
          <w:rFonts w:cstheme="minorHAnsi"/>
          <w:color w:val="000000"/>
          <w:shd w:val="clear" w:color="auto" w:fill="FFFFFF"/>
        </w:rPr>
        <w:t>,</w:t>
      </w:r>
      <w:r w:rsidRPr="000E42B4">
        <w:rPr>
          <w:rFonts w:cstheme="minorHAnsi"/>
          <w:color w:val="000000"/>
          <w:shd w:val="clear" w:color="auto" w:fill="FFFFFF"/>
        </w:rPr>
        <w:t xml:space="preserve"> may be a suitable alternative. This usually comprises treatment for a condition that otherwise would require acute hospital inpatient care. Different models of care currently exist in the UK, some of which do not require initial assessment in secondary care. These services often have the ability to perform hospital-level diagnostic tests (e.g. point of care </w:t>
      </w:r>
      <w:r w:rsidR="00E2003E">
        <w:rPr>
          <w:rFonts w:cstheme="minorHAnsi"/>
          <w:color w:val="000000"/>
          <w:shd w:val="clear" w:color="auto" w:fill="FFFFFF"/>
        </w:rPr>
        <w:t xml:space="preserve">(POCT) </w:t>
      </w:r>
      <w:r w:rsidRPr="000E42B4">
        <w:rPr>
          <w:rFonts w:cstheme="minorHAnsi"/>
          <w:color w:val="000000"/>
          <w:shd w:val="clear" w:color="auto" w:fill="FFFFFF"/>
        </w:rPr>
        <w:t>blood and molecular tests) and provide interventions such as treatment with intravenous (IV) fluids.</w:t>
      </w:r>
      <w:r w:rsidR="000E41A6">
        <w:rPr>
          <w:rFonts w:cstheme="minorHAnsi"/>
          <w:color w:val="000000"/>
          <w:shd w:val="clear" w:color="auto" w:fill="FFFFFF"/>
        </w:rPr>
        <w:t xml:space="preserve"> </w:t>
      </w:r>
      <w:r w:rsidRPr="000E42B4">
        <w:rPr>
          <w:rFonts w:cstheme="minorHAnsi"/>
          <w:color w:val="000000"/>
          <w:shd w:val="clear" w:color="auto" w:fill="FFFFFF"/>
        </w:rPr>
        <w:t>Previous guidelines</w:t>
      </w:r>
      <w:r w:rsidR="00AC0F9C" w:rsidRPr="00AC0F9C">
        <w:rPr>
          <w:vertAlign w:val="superscript"/>
        </w:rPr>
        <w:t>1</w:t>
      </w:r>
      <w:r w:rsidRPr="000E42B4">
        <w:rPr>
          <w:rFonts w:cstheme="minorHAnsi"/>
          <w:color w:val="000000"/>
          <w:shd w:val="clear" w:color="auto" w:fill="FFFFFF"/>
        </w:rPr>
        <w:t xml:space="preserve"> recommended that the admission of unnecessary cases should be avoided and that whenever possible patients should be cared for at home. They also recommended that rapid risk assessment of an infected individual should be undertaken by a competent doctor to ensure patient safety is not compromised. Little is currently known whether this strategy is </w:t>
      </w:r>
      <w:r w:rsidR="00E758C0" w:rsidRPr="000E42B4">
        <w:rPr>
          <w:rFonts w:cstheme="minorHAnsi"/>
          <w:color w:val="000000"/>
          <w:shd w:val="clear" w:color="auto" w:fill="FFFFFF"/>
        </w:rPr>
        <w:t>clinical</w:t>
      </w:r>
      <w:r w:rsidRPr="000E42B4">
        <w:rPr>
          <w:rFonts w:cstheme="minorHAnsi"/>
          <w:color w:val="000000"/>
          <w:shd w:val="clear" w:color="auto" w:fill="FFFFFF"/>
        </w:rPr>
        <w:t>ly</w:t>
      </w:r>
      <w:r w:rsidR="00E758C0" w:rsidRPr="000E42B4">
        <w:rPr>
          <w:rFonts w:cstheme="minorHAnsi"/>
          <w:color w:val="000000"/>
          <w:shd w:val="clear" w:color="auto" w:fill="FFFFFF"/>
        </w:rPr>
        <w:t xml:space="preserve"> and cost-effectiv</w:t>
      </w:r>
      <w:r w:rsidRPr="000E42B4">
        <w:rPr>
          <w:rFonts w:cstheme="minorHAnsi"/>
          <w:color w:val="000000"/>
          <w:shd w:val="clear" w:color="auto" w:fill="FFFFFF"/>
        </w:rPr>
        <w:t>e, specifically whether it helps to prevent outbreaks of norovirus in institutions while still providing adequate care for infected individuals</w:t>
      </w:r>
      <w:r w:rsidR="00E758C0" w:rsidRPr="000E42B4">
        <w:rPr>
          <w:rFonts w:cstheme="minorHAnsi"/>
          <w:color w:val="000000"/>
          <w:shd w:val="clear" w:color="auto" w:fill="FFFFFF"/>
        </w:rPr>
        <w:t xml:space="preserve">. </w:t>
      </w:r>
    </w:p>
    <w:p w14:paraId="5E326595" w14:textId="6509351E" w:rsidR="00EC7A69" w:rsidRDefault="00EC7A69" w:rsidP="00CF7116">
      <w:pPr>
        <w:spacing w:before="240" w:line="276" w:lineRule="auto"/>
      </w:pPr>
      <w:r w:rsidRPr="0095272F">
        <w:lastRenderedPageBreak/>
        <w:t>No studies were found in</w:t>
      </w:r>
      <w:r>
        <w:t xml:space="preserve"> the existing </w:t>
      </w:r>
      <w:r w:rsidR="00FE349B">
        <w:t>literature that</w:t>
      </w:r>
      <w:r>
        <w:t xml:space="preserve"> assessed the clinical benefit of avoiding admission or incarceration of individuals who are suspected or confirmed to be infected </w:t>
      </w:r>
      <w:r w:rsidR="000A5F10">
        <w:t>with</w:t>
      </w:r>
      <w:r>
        <w:t xml:space="preserve"> norovirus in any setting.</w:t>
      </w:r>
    </w:p>
    <w:p w14:paraId="4E6FF705" w14:textId="3C7C2BDD"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benefit of avoiding admission or incarceration of individuals who are suspected or confirmed to be infected </w:t>
      </w:r>
      <w:r w:rsidR="000A5F10">
        <w:t>with</w:t>
      </w:r>
      <w:r>
        <w:t xml:space="preserve"> norovirus in any setting.</w:t>
      </w:r>
    </w:p>
    <w:p w14:paraId="38645841" w14:textId="59412ED0"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 of avoiding admission or incarceration of individuals who are suspected or confirmed to be infected </w:t>
      </w:r>
      <w:r w:rsidR="000A5F10">
        <w:t>with</w:t>
      </w:r>
      <w:r>
        <w:t xml:space="preserve"> norovirus on patient satisfaction in any setting.</w:t>
      </w:r>
    </w:p>
    <w:p w14:paraId="7C9A7C7E" w14:textId="35B28249" w:rsidR="00EC7A69" w:rsidRDefault="00EC7A69" w:rsidP="00CF7116">
      <w:pPr>
        <w:spacing w:before="240" w:line="276" w:lineRule="auto"/>
      </w:pPr>
      <w:r w:rsidRPr="00A320FD">
        <w:t xml:space="preserve">There was very weak </w:t>
      </w:r>
      <w:r w:rsidR="000E42B4" w:rsidRPr="00A320FD">
        <w:t xml:space="preserve">evidence </w:t>
      </w:r>
      <w:r w:rsidRPr="00A320FD">
        <w:t>of risk from two outbreak studies</w:t>
      </w:r>
      <w:r w:rsidRPr="00A320FD">
        <w:rPr>
          <w:vertAlign w:val="superscript"/>
        </w:rPr>
        <w:t>1</w:t>
      </w:r>
      <w:r w:rsidR="00A320FD">
        <w:rPr>
          <w:vertAlign w:val="superscript"/>
        </w:rPr>
        <w:t>4</w:t>
      </w:r>
      <w:r w:rsidRPr="00A320FD">
        <w:rPr>
          <w:vertAlign w:val="superscript"/>
        </w:rPr>
        <w:t>,2</w:t>
      </w:r>
      <w:r w:rsidR="00A320FD">
        <w:rPr>
          <w:vertAlign w:val="superscript"/>
        </w:rPr>
        <w:t>0</w:t>
      </w:r>
      <w:r w:rsidRPr="00A320FD">
        <w:t xml:space="preserve"> which reported the effect of allowing patients suspected or confirmed to be infected with norovirus to be admitted into hospital. One of these studies</w:t>
      </w:r>
      <w:r w:rsidRPr="00A320FD">
        <w:rPr>
          <w:vertAlign w:val="superscript"/>
        </w:rPr>
        <w:t>1</w:t>
      </w:r>
      <w:r w:rsidR="00A320FD">
        <w:rPr>
          <w:vertAlign w:val="superscript"/>
        </w:rPr>
        <w:t>4</w:t>
      </w:r>
      <w:r w:rsidRPr="00A320FD">
        <w:t xml:space="preserve"> reported a prolonged outbreak which affected a total of 173 individuals and lasted 54 days. The authors reported that one of the reasons for the prolonged duration of the</w:t>
      </w:r>
      <w:r>
        <w:t xml:space="preserve"> outbreak was the continuous admission of new cases from the community with a known ongoing epidemic of norovirus, which infected other individuals in hospital. The second study</w:t>
      </w:r>
      <w:r w:rsidRPr="001813ED">
        <w:rPr>
          <w:vertAlign w:val="superscript"/>
        </w:rPr>
        <w:t>2</w:t>
      </w:r>
      <w:r w:rsidR="00A320FD">
        <w:rPr>
          <w:vertAlign w:val="superscript"/>
        </w:rPr>
        <w:t>0</w:t>
      </w:r>
      <w:r>
        <w:t xml:space="preserve"> reported an outbreak in hospital which occurred after the admission of some symptomatic cases from a nursing home. The authors reported that the resident</w:t>
      </w:r>
      <w:r w:rsidR="000A5F10">
        <w:t>’s</w:t>
      </w:r>
      <w:r>
        <w:t xml:space="preserve"> illness was initially mistakenly assumed to be due to foodborne Salmonella and </w:t>
      </w:r>
      <w:r w:rsidR="000A5F10">
        <w:t xml:space="preserve">that </w:t>
      </w:r>
      <w:r>
        <w:t>this resulted in the hospital admitting patients without appropriate precautions. Subsequently, as a result of an outbreak in hospital, 28 cases became ill over the course of 18 days. The authors also mentioned that the o</w:t>
      </w:r>
      <w:r w:rsidRPr="00315D5C">
        <w:t>utbreak</w:t>
      </w:r>
      <w:r>
        <w:t xml:space="preserve"> in </w:t>
      </w:r>
      <w:r w:rsidR="000A5F10">
        <w:t xml:space="preserve">the </w:t>
      </w:r>
      <w:r>
        <w:t>nursing home</w:t>
      </w:r>
      <w:r w:rsidRPr="00315D5C">
        <w:t xml:space="preserve"> met Kaplan criteria, which would have helped in implementing the interventions earlier</w:t>
      </w:r>
      <w:r>
        <w:t xml:space="preserve"> and that their report il</w:t>
      </w:r>
      <w:r w:rsidRPr="00315D5C">
        <w:t xml:space="preserve">lustrates how admitting </w:t>
      </w:r>
      <w:r>
        <w:t>symptomatic</w:t>
      </w:r>
      <w:r w:rsidRPr="00315D5C">
        <w:t xml:space="preserve"> cases </w:t>
      </w:r>
      <w:r>
        <w:t xml:space="preserve">with </w:t>
      </w:r>
      <w:r w:rsidRPr="00315D5C">
        <w:t>no IPC measures leads to outbreaks</w:t>
      </w:r>
      <w:r>
        <w:t xml:space="preserve"> in hospitals</w:t>
      </w:r>
      <w:r w:rsidRPr="00315D5C">
        <w:t>.</w:t>
      </w:r>
    </w:p>
    <w:p w14:paraId="4DA6E788" w14:textId="7175F56A" w:rsidR="00EC7A69" w:rsidRPr="00CA4D87" w:rsidRDefault="00CA4D87" w:rsidP="00CF7116">
      <w:pPr>
        <w:spacing w:before="240" w:line="276" w:lineRule="auto"/>
        <w:rPr>
          <w:i/>
          <w:iCs/>
        </w:rPr>
      </w:pPr>
      <w:r w:rsidRPr="00CA4D87">
        <w:rPr>
          <w:i/>
          <w:iCs/>
        </w:rPr>
        <w:t xml:space="preserve">The Working Party has reviewed the above evidence and concluded that </w:t>
      </w:r>
      <w:r>
        <w:rPr>
          <w:i/>
          <w:iCs/>
        </w:rPr>
        <w:t xml:space="preserve">admitting patients suspected or confirmed to be infected with norovirus could put staff and other patients at risk of acquiring the infection. However, there is currently very limited evidence that suggests that avoiding admission is beneficial. It is possible that other IPC measures such as prompt isolation and precautions taken for infected individuals could be equally effective. The Working Party discussed the potential implication of avoiding the admission in a healthcare setting, especially potential complications and the risk to the affected individuals, and they concluded that the decision whether to admit the patient should be made on </w:t>
      </w:r>
      <w:r w:rsidR="00556D11">
        <w:rPr>
          <w:i/>
          <w:iCs/>
        </w:rPr>
        <w:t xml:space="preserve">an </w:t>
      </w:r>
      <w:r>
        <w:rPr>
          <w:i/>
          <w:iCs/>
        </w:rPr>
        <w:t xml:space="preserve">individual basis (i.e. whether there is a risk that an infected norovirus patient could suffer negative events when not admitted). </w:t>
      </w:r>
    </w:p>
    <w:p w14:paraId="170D2CB1" w14:textId="77777777" w:rsidR="00EC7A69" w:rsidRPr="00CA4D87" w:rsidRDefault="00EC7A69" w:rsidP="00CF7116">
      <w:pPr>
        <w:spacing w:line="276" w:lineRule="auto"/>
        <w:rPr>
          <w:b/>
          <w:bCs/>
        </w:rPr>
      </w:pPr>
      <w:r w:rsidRPr="00CA4D87">
        <w:rPr>
          <w:b/>
          <w:bCs/>
        </w:rPr>
        <w:t>Recommendations:</w:t>
      </w:r>
    </w:p>
    <w:p w14:paraId="6F78456F" w14:textId="0118A216" w:rsidR="00EC7A69" w:rsidRPr="009E6247" w:rsidRDefault="00CA4D87" w:rsidP="00CF7116">
      <w:pPr>
        <w:spacing w:before="240" w:line="276" w:lineRule="auto"/>
      </w:pPr>
      <w:r w:rsidRPr="00CA4D87">
        <w:rPr>
          <w:b/>
          <w:bCs/>
        </w:rPr>
        <w:t>3.1:</w:t>
      </w:r>
      <w:r>
        <w:t xml:space="preserve"> No recommendation</w:t>
      </w:r>
    </w:p>
    <w:p w14:paraId="740CA9EF" w14:textId="77777777" w:rsidR="00EC7A69" w:rsidRPr="00CA4D87" w:rsidRDefault="00EC7A69" w:rsidP="00CF7116">
      <w:pPr>
        <w:spacing w:line="276" w:lineRule="auto"/>
        <w:rPr>
          <w:b/>
          <w:bCs/>
        </w:rPr>
      </w:pPr>
      <w:r w:rsidRPr="00CA4D87">
        <w:rPr>
          <w:b/>
          <w:bCs/>
        </w:rPr>
        <w:t>Good practice points:</w:t>
      </w:r>
    </w:p>
    <w:p w14:paraId="6C45E1ED" w14:textId="16251523" w:rsidR="000E42B4" w:rsidRDefault="000E42B4" w:rsidP="00CF7116">
      <w:pPr>
        <w:spacing w:before="240" w:line="276" w:lineRule="auto"/>
      </w:pPr>
      <w:r w:rsidRPr="00CA4D87">
        <w:rPr>
          <w:b/>
          <w:bCs/>
        </w:rPr>
        <w:t>GPP</w:t>
      </w:r>
      <w:r w:rsidR="00953810">
        <w:rPr>
          <w:b/>
          <w:bCs/>
        </w:rPr>
        <w:t xml:space="preserve"> </w:t>
      </w:r>
      <w:r w:rsidR="00CA4D87" w:rsidRPr="00CA4D87">
        <w:rPr>
          <w:b/>
          <w:bCs/>
        </w:rPr>
        <w:t>3.1</w:t>
      </w:r>
      <w:r w:rsidRPr="00CA4D87">
        <w:rPr>
          <w:b/>
          <w:bCs/>
        </w:rPr>
        <w:t>:</w:t>
      </w:r>
      <w:r>
        <w:t xml:space="preserve"> </w:t>
      </w:r>
      <w:r w:rsidR="00CA4D87">
        <w:t>W</w:t>
      </w:r>
      <w:r>
        <w:t xml:space="preserve">here feasible, </w:t>
      </w:r>
      <w:r w:rsidR="00CA4D87">
        <w:t xml:space="preserve">avoid admitting suspected/confirmed norovirus patients and offer suitable supportive treatment (e.g. rehydration therapy) in the community. </w:t>
      </w:r>
    </w:p>
    <w:p w14:paraId="2902743F" w14:textId="77777777" w:rsidR="00EC7A69" w:rsidRDefault="00EC7A69" w:rsidP="00CF7116">
      <w:pPr>
        <w:spacing w:before="240" w:line="276" w:lineRule="auto"/>
      </w:pPr>
    </w:p>
    <w:p w14:paraId="768C47E4" w14:textId="06BF746A" w:rsidR="00E758C0" w:rsidRDefault="00E758C0" w:rsidP="00CF7116">
      <w:pPr>
        <w:pStyle w:val="Heading2"/>
        <w:spacing w:before="240" w:after="160" w:line="276" w:lineRule="auto"/>
      </w:pPr>
      <w:r>
        <w:lastRenderedPageBreak/>
        <w:t>8.4</w:t>
      </w:r>
      <w:r w:rsidRPr="00E758C0">
        <w:tab/>
        <w:t>When should the beginning and the end of the outbreak be declared?</w:t>
      </w:r>
    </w:p>
    <w:p w14:paraId="79E1B7F5" w14:textId="525619F2" w:rsidR="00E758C0" w:rsidRDefault="00FB43A3" w:rsidP="00CF7116">
      <w:pPr>
        <w:spacing w:before="240" w:line="276" w:lineRule="auto"/>
      </w:pPr>
      <w:r>
        <w:t xml:space="preserve">Declaration of an outbreak requires careful balancing. On </w:t>
      </w:r>
      <w:r w:rsidR="000A5F10">
        <w:t xml:space="preserve">the </w:t>
      </w:r>
      <w:r>
        <w:t>one hand, prompt declaration and an introduction of appropriate measures may help the facilities to contain the outbreak quickly. On the other hand, this declaration can have a reputational and financial impact and may lead to unnecessary service disruptions. Previous guidelines</w:t>
      </w:r>
      <w:r w:rsidR="00AC0F9C" w:rsidRPr="00AC0F9C">
        <w:rPr>
          <w:vertAlign w:val="superscript"/>
        </w:rPr>
        <w:t>1</w:t>
      </w:r>
      <w:r>
        <w:t xml:space="preserve"> acknowledged that declaring an outbreak is needed but did not provide clear recommendations when this should occur. The guidelines also stated that the outbreaks may not necessarily need laboratory confirmation and that the occurrence of multiple cases may not necessarily warrant the declaration of an outbreak. Additionally, the guidelines asserted that the outbreak declaration “</w:t>
      </w:r>
      <w:r w:rsidRPr="00FB43A3">
        <w:t>can be tailored to suit the prevailing</w:t>
      </w:r>
      <w:r>
        <w:t xml:space="preserve"> </w:t>
      </w:r>
      <w:r w:rsidRPr="00FB43A3">
        <w:t>circumstances</w:t>
      </w:r>
      <w:r>
        <w:t>”. This, however, may be confusing for individual facilities and c</w:t>
      </w:r>
      <w:r w:rsidR="00E758C0">
        <w:t>larity is needed regarding the definition of an outbreak and when an outbreak should be considered</w:t>
      </w:r>
      <w:r>
        <w:t>. This is</w:t>
      </w:r>
      <w:r w:rsidR="00E758C0">
        <w:t xml:space="preserve"> especially </w:t>
      </w:r>
      <w:r>
        <w:t xml:space="preserve">important </w:t>
      </w:r>
      <w:r w:rsidR="00E758C0">
        <w:t xml:space="preserve">when IPC specialists are </w:t>
      </w:r>
      <w:r>
        <w:t xml:space="preserve">not readily </w:t>
      </w:r>
      <w:r w:rsidR="00E758C0">
        <w:t>available</w:t>
      </w:r>
      <w:r>
        <w:t>, e.g.</w:t>
      </w:r>
      <w:r w:rsidR="00E758C0">
        <w:t xml:space="preserve"> in community settings</w:t>
      </w:r>
      <w:r>
        <w:t>. For these settings,</w:t>
      </w:r>
      <w:r w:rsidR="00E758C0">
        <w:t xml:space="preserve"> </w:t>
      </w:r>
      <w:r>
        <w:t xml:space="preserve">a period of increased incidence rather than an outbreak can be declared but there still needs to be a clear definition when this action should be triggered. Historically, Kaplan’s criteria (see glossary for definition) were applied to declare a norovirus outbreak, although with molecular testing, which provides more rapid confirmation, these criteria may now have less clinical value. </w:t>
      </w:r>
      <w:r w:rsidR="00E758C0">
        <w:t xml:space="preserve">There </w:t>
      </w:r>
      <w:r>
        <w:t xml:space="preserve">also </w:t>
      </w:r>
      <w:r w:rsidR="00E758C0">
        <w:t xml:space="preserve">needs to be a clear recommendation for </w:t>
      </w:r>
      <w:r>
        <w:t xml:space="preserve">when </w:t>
      </w:r>
      <w:r w:rsidR="00E758C0">
        <w:t xml:space="preserve">an outbreak </w:t>
      </w:r>
      <w:r>
        <w:t xml:space="preserve">could be declared </w:t>
      </w:r>
      <w:r w:rsidR="00E758C0">
        <w:t>over</w:t>
      </w:r>
      <w:r>
        <w:t>. This also needs to be balanced carefully</w:t>
      </w:r>
      <w:r w:rsidR="00E758C0">
        <w:t xml:space="preserve"> so that patient </w:t>
      </w:r>
      <w:r>
        <w:t>services</w:t>
      </w:r>
      <w:r w:rsidR="00E758C0">
        <w:t xml:space="preserve"> can recommence</w:t>
      </w:r>
      <w:r>
        <w:t xml:space="preserve"> but without the risk of the outbreak recurring. </w:t>
      </w:r>
    </w:p>
    <w:p w14:paraId="3860FDFB" w14:textId="77777777" w:rsidR="00EC7A69" w:rsidRDefault="00EC7A69" w:rsidP="00CF7116">
      <w:pPr>
        <w:pStyle w:val="Heading3"/>
        <w:spacing w:line="276" w:lineRule="auto"/>
      </w:pPr>
      <w:r>
        <w:t>When should the beginning of the outbreak be declared?</w:t>
      </w:r>
    </w:p>
    <w:p w14:paraId="7BFC47BE" w14:textId="47460678" w:rsidR="00EC7A69" w:rsidRDefault="00EC7A69" w:rsidP="00CF7116">
      <w:pPr>
        <w:spacing w:before="240" w:line="276" w:lineRule="auto"/>
      </w:pPr>
      <w:r w:rsidRPr="0095272F">
        <w:t xml:space="preserve">There was </w:t>
      </w:r>
      <w:r w:rsidRPr="00FB43A3">
        <w:t>weak evidence</w:t>
      </w:r>
      <w:r>
        <w:t xml:space="preserve"> from one c</w:t>
      </w:r>
      <w:r w:rsidR="00FB43A3">
        <w:t xml:space="preserve">ross-sectional </w:t>
      </w:r>
      <w:r>
        <w:t>study,</w:t>
      </w:r>
      <w:r w:rsidR="00A320FD" w:rsidRPr="00A320FD">
        <w:rPr>
          <w:vertAlign w:val="superscript"/>
        </w:rPr>
        <w:t>2</w:t>
      </w:r>
      <w:r>
        <w:rPr>
          <w:vertAlign w:val="superscript"/>
        </w:rPr>
        <w:t>1</w:t>
      </w:r>
      <w:r>
        <w:t xml:space="preserve"> which evaluated the effect of recognising a norovirus outbreak and introducing interventions early. The study prospectively evaluated outbreaks which occurred in nursing homes during the norovirus season. The </w:t>
      </w:r>
      <w:r w:rsidR="000A5F10">
        <w:t xml:space="preserve">authors </w:t>
      </w:r>
      <w:r>
        <w:t xml:space="preserve">reported that in outbreaks in which control measures were in place within three days, there were significantly lower attack rates for staff (20% vs 33.4%, p=0.019) but </w:t>
      </w:r>
      <w:r w:rsidR="000A5F10">
        <w:t xml:space="preserve">that </w:t>
      </w:r>
      <w:r>
        <w:t>there was no observed benefit for the residents (35.9% vs 39.5%, p-value reported not significant) and that early control measures did not influence the duration of the outbreaks (15.9 days vs 18.5 days, p-value reported not significant)</w:t>
      </w:r>
      <w:r w:rsidR="00FB43A3">
        <w:t>.</w:t>
      </w:r>
    </w:p>
    <w:p w14:paraId="185941C2" w14:textId="339E7E98" w:rsidR="00EC7A69" w:rsidRDefault="00EC7A69" w:rsidP="00CF7116">
      <w:pPr>
        <w:spacing w:before="240" w:line="276" w:lineRule="auto"/>
      </w:pPr>
      <w:r w:rsidRPr="0095272F">
        <w:t xml:space="preserve">There was </w:t>
      </w:r>
      <w:r w:rsidRPr="00FB43A3">
        <w:t>inconsistent evidence</w:t>
      </w:r>
      <w:r>
        <w:t xml:space="preserve"> from outbreaks studies,</w:t>
      </w:r>
      <w:r w:rsidR="00A320FD" w:rsidRPr="00A320FD">
        <w:rPr>
          <w:vertAlign w:val="superscript"/>
        </w:rPr>
        <w:t>19,20,22-40</w:t>
      </w:r>
      <w:r>
        <w:t xml:space="preserve"> which reported different triggers for recognising outbreaks in healthcare settings. Fourteen studies</w:t>
      </w:r>
      <w:r w:rsidR="00A320FD" w:rsidRPr="00A320FD">
        <w:rPr>
          <w:vertAlign w:val="superscript"/>
        </w:rPr>
        <w:t>19,22-34</w:t>
      </w:r>
      <w:r>
        <w:t xml:space="preserve"> reported that </w:t>
      </w:r>
      <w:r w:rsidR="000A5F10">
        <w:t xml:space="preserve">an </w:t>
      </w:r>
      <w:r>
        <w:t xml:space="preserve">outbreak was recognised when an increase in gastroenteritis cases was </w:t>
      </w:r>
      <w:r w:rsidR="00FB43A3">
        <w:t>observed</w:t>
      </w:r>
      <w:r>
        <w:t xml:space="preserve"> and the control measures were introduced before norovirus was confirmed as an aetiological agent. The duration of the outbreak before it was recognised varied from </w:t>
      </w:r>
      <w:r w:rsidR="001128A6">
        <w:t>zero</w:t>
      </w:r>
      <w:r>
        <w:t xml:space="preserve"> days (day 1) to six weeks. These outbreaks affected between three and 355 cases (median 51) and lasted between five days and two months (median 18 days). The study which reported that it took six weeks to recognise the outbreak,</w:t>
      </w:r>
      <w:r w:rsidR="00A320FD">
        <w:rPr>
          <w:vertAlign w:val="superscript"/>
        </w:rPr>
        <w:t>34</w:t>
      </w:r>
      <w:r>
        <w:t xml:space="preserve"> reported the highest number of cases and the longest duration. The outbreak which was recognised on </w:t>
      </w:r>
      <w:r w:rsidR="00FB43A3">
        <w:t>the</w:t>
      </w:r>
      <w:r>
        <w:t xml:space="preserve"> first day</w:t>
      </w:r>
      <w:r w:rsidR="00A320FD">
        <w:rPr>
          <w:vertAlign w:val="superscript"/>
        </w:rPr>
        <w:t>28</w:t>
      </w:r>
      <w:r>
        <w:t xml:space="preserve"> involved three cases and lasted seven days. One study reported</w:t>
      </w:r>
      <w:r w:rsidR="00A320FD">
        <w:rPr>
          <w:vertAlign w:val="superscript"/>
        </w:rPr>
        <w:t>35</w:t>
      </w:r>
      <w:r>
        <w:t xml:space="preserve"> that </w:t>
      </w:r>
      <w:r w:rsidR="00FB43A3">
        <w:t xml:space="preserve">the </w:t>
      </w:r>
      <w:r>
        <w:t>outbreak was declared as soon as the first person (who was also later confirmed to be an index case) became ill with symptoms of gastroenteritis (day 1). This outbreak still affected a total of 60 cases and lasted 22 days. Two studies</w:t>
      </w:r>
      <w:r w:rsidR="00A320FD" w:rsidRPr="00A320FD">
        <w:rPr>
          <w:vertAlign w:val="superscript"/>
        </w:rPr>
        <w:t>36,</w:t>
      </w:r>
      <w:r w:rsidR="00A320FD">
        <w:rPr>
          <w:vertAlign w:val="superscript"/>
        </w:rPr>
        <w:t>37</w:t>
      </w:r>
      <w:r w:rsidR="00A320FD" w:rsidRPr="00A320FD">
        <w:t xml:space="preserve"> </w:t>
      </w:r>
      <w:r>
        <w:t>reported that an outbreak was recognised when laboratory results confirmed norovirus as an infectious agent causing gastroenteritis in patients (days 5</w:t>
      </w:r>
      <w:r w:rsidR="00A320FD">
        <w:rPr>
          <w:vertAlign w:val="superscript"/>
        </w:rPr>
        <w:t>36</w:t>
      </w:r>
      <w:r>
        <w:t xml:space="preserve"> and 2</w:t>
      </w:r>
      <w:r w:rsidR="00A320FD">
        <w:rPr>
          <w:vertAlign w:val="superscript"/>
        </w:rPr>
        <w:t>37</w:t>
      </w:r>
      <w:r>
        <w:t>). These outbreaks were reported to affect 28</w:t>
      </w:r>
      <w:r w:rsidR="00A320FD">
        <w:rPr>
          <w:vertAlign w:val="superscript"/>
        </w:rPr>
        <w:t>36</w:t>
      </w:r>
      <w:r>
        <w:t xml:space="preserve"> and 14 cases,</w:t>
      </w:r>
      <w:r w:rsidR="00A320FD">
        <w:rPr>
          <w:vertAlign w:val="superscript"/>
        </w:rPr>
        <w:t>37</w:t>
      </w:r>
      <w:r>
        <w:t xml:space="preserve"> lasting eight</w:t>
      </w:r>
      <w:r w:rsidR="00A320FD">
        <w:rPr>
          <w:vertAlign w:val="superscript"/>
        </w:rPr>
        <w:t>36</w:t>
      </w:r>
      <w:r>
        <w:t xml:space="preserve"> and 14 days.</w:t>
      </w:r>
      <w:r w:rsidR="00A320FD">
        <w:rPr>
          <w:vertAlign w:val="superscript"/>
        </w:rPr>
        <w:t>37</w:t>
      </w:r>
      <w:r>
        <w:t xml:space="preserve"> One study</w:t>
      </w:r>
      <w:r w:rsidR="00A320FD">
        <w:rPr>
          <w:vertAlign w:val="superscript"/>
        </w:rPr>
        <w:t>38</w:t>
      </w:r>
      <w:r>
        <w:t xml:space="preserve"> reported that </w:t>
      </w:r>
      <w:r w:rsidR="00FB43A3">
        <w:t xml:space="preserve">the </w:t>
      </w:r>
      <w:r>
        <w:t xml:space="preserve">outbreak was recognised when cases of gastroenteritis occurred on more </w:t>
      </w:r>
      <w:r>
        <w:lastRenderedPageBreak/>
        <w:t>than one ward (day 2), eventually affecting 42 cases and lasting 17 days. Two studies</w:t>
      </w:r>
      <w:r w:rsidRPr="00225F05">
        <w:rPr>
          <w:vertAlign w:val="superscript"/>
        </w:rPr>
        <w:t>20</w:t>
      </w:r>
      <w:r>
        <w:rPr>
          <w:vertAlign w:val="superscript"/>
        </w:rPr>
        <w:t>,</w:t>
      </w:r>
      <w:r w:rsidR="00A320FD">
        <w:rPr>
          <w:vertAlign w:val="superscript"/>
        </w:rPr>
        <w:t>39</w:t>
      </w:r>
      <w:r>
        <w:t xml:space="preserve"> reported that they recognised the outbreak after they became aware that the cases fit Kaplan criteria for viral gastroenteritis (day 2</w:t>
      </w:r>
      <w:r w:rsidR="00A320FD">
        <w:rPr>
          <w:vertAlign w:val="superscript"/>
        </w:rPr>
        <w:t>39</w:t>
      </w:r>
      <w:r>
        <w:t xml:space="preserve"> and day 7</w:t>
      </w:r>
      <w:r w:rsidRPr="00225F05">
        <w:rPr>
          <w:vertAlign w:val="superscript"/>
        </w:rPr>
        <w:t>2</w:t>
      </w:r>
      <w:r w:rsidR="00A320FD">
        <w:rPr>
          <w:vertAlign w:val="superscript"/>
        </w:rPr>
        <w:t>0</w:t>
      </w:r>
      <w:r>
        <w:t xml:space="preserve">). These studies </w:t>
      </w:r>
      <w:r w:rsidR="000A5F10">
        <w:t xml:space="preserve">were </w:t>
      </w:r>
      <w:r>
        <w:t>reported to affect 95</w:t>
      </w:r>
      <w:r w:rsidR="00A320FD">
        <w:rPr>
          <w:vertAlign w:val="superscript"/>
        </w:rPr>
        <w:t>39</w:t>
      </w:r>
      <w:r>
        <w:t xml:space="preserve"> a</w:t>
      </w:r>
      <w:r w:rsidR="00FB43A3">
        <w:t>nd 24/28</w:t>
      </w:r>
      <w:r>
        <w:t xml:space="preserve"> cases </w:t>
      </w:r>
      <w:r w:rsidR="00FB43A3">
        <w:t xml:space="preserve">(in </w:t>
      </w:r>
      <w:r w:rsidR="000A5F10">
        <w:t xml:space="preserve">a </w:t>
      </w:r>
      <w:r w:rsidR="00FB43A3">
        <w:t>nursing home and hospital</w:t>
      </w:r>
      <w:r w:rsidR="000A5F10">
        <w:t>s</w:t>
      </w:r>
      <w:r w:rsidR="00FB43A3">
        <w:t xml:space="preserve"> respectively</w:t>
      </w:r>
      <w:r w:rsidR="00EA6303">
        <w:t>; in this study the outbreak was reported to spread from a nursing home to a local hospital</w:t>
      </w:r>
      <w:r w:rsidR="00FB43A3">
        <w:t>)</w:t>
      </w:r>
      <w:r w:rsidRPr="00225F05">
        <w:rPr>
          <w:vertAlign w:val="superscript"/>
        </w:rPr>
        <w:t>2</w:t>
      </w:r>
      <w:r w:rsidR="00A320FD">
        <w:rPr>
          <w:vertAlign w:val="superscript"/>
        </w:rPr>
        <w:t>0</w:t>
      </w:r>
      <w:r>
        <w:t xml:space="preserve"> lasting 22</w:t>
      </w:r>
      <w:r w:rsidR="00A320FD">
        <w:rPr>
          <w:vertAlign w:val="superscript"/>
        </w:rPr>
        <w:t>39</w:t>
      </w:r>
      <w:r>
        <w:t xml:space="preserve"> </w:t>
      </w:r>
      <w:r w:rsidR="00FB43A3">
        <w:t xml:space="preserve">and </w:t>
      </w:r>
      <w:r>
        <w:t>9</w:t>
      </w:r>
      <w:r w:rsidR="00FB43A3">
        <w:t>/</w:t>
      </w:r>
      <w:r>
        <w:t>18</w:t>
      </w:r>
      <w:r w:rsidR="00FB43A3">
        <w:t xml:space="preserve"> </w:t>
      </w:r>
      <w:r>
        <w:t>days</w:t>
      </w:r>
      <w:r w:rsidR="00FB43A3">
        <w:t xml:space="preserve"> (nursing home/hospital</w:t>
      </w:r>
      <w:r w:rsidR="000A5F10">
        <w:t>s</w:t>
      </w:r>
      <w:r w:rsidR="00FB43A3">
        <w:t>)</w:t>
      </w:r>
      <w:r>
        <w:t>.</w:t>
      </w:r>
      <w:r w:rsidR="00A320FD">
        <w:rPr>
          <w:vertAlign w:val="superscript"/>
        </w:rPr>
        <w:t>20</w:t>
      </w:r>
      <w:r>
        <w:t xml:space="preserve"> Lastly, there was only study</w:t>
      </w:r>
      <w:r w:rsidR="00A320FD">
        <w:rPr>
          <w:vertAlign w:val="superscript"/>
        </w:rPr>
        <w:t>40</w:t>
      </w:r>
      <w:r>
        <w:t xml:space="preserve"> which reported that the institution failed to recognise an outbreak until the second wave of cases occurred (day 17). This outbreak affected 101 cases and lasted 44 days. None of the studies assessed the cost or patient/staff experience. </w:t>
      </w:r>
    </w:p>
    <w:p w14:paraId="333C5B29" w14:textId="1E903FFE" w:rsidR="00EC7A69" w:rsidRDefault="00EC7A69" w:rsidP="00CF7116">
      <w:pPr>
        <w:spacing w:before="240" w:line="276" w:lineRule="auto"/>
      </w:pPr>
      <w:r w:rsidRPr="0095272F">
        <w:t xml:space="preserve">There was </w:t>
      </w:r>
      <w:r w:rsidRPr="00FB43A3">
        <w:t>weak evidence</w:t>
      </w:r>
      <w:r>
        <w:t xml:space="preserve"> from outbreaks studies,</w:t>
      </w:r>
      <w:r w:rsidR="00A320FD">
        <w:rPr>
          <w:vertAlign w:val="superscript"/>
        </w:rPr>
        <w:t>41-48</w:t>
      </w:r>
      <w:r>
        <w:t xml:space="preserve"> which reported different triggers for recognising outbreaks outside healthcare settings. Seven studies</w:t>
      </w:r>
      <w:r w:rsidR="00A320FD">
        <w:rPr>
          <w:vertAlign w:val="superscript"/>
        </w:rPr>
        <w:t>41-47</w:t>
      </w:r>
      <w:r>
        <w:t xml:space="preserve"> reported that </w:t>
      </w:r>
      <w:r w:rsidR="000A5F10">
        <w:t xml:space="preserve">an </w:t>
      </w:r>
      <w:r>
        <w:t xml:space="preserve">outbreak was recognised when an increase in gastroenteritis cases was observed and </w:t>
      </w:r>
      <w:r w:rsidR="000A5F10">
        <w:t xml:space="preserve">that </w:t>
      </w:r>
      <w:r>
        <w:t>the control measures were introduced before norovirus was confirmed as an aetiological agent. The duration of the outbreak before it was recognised varied between one (day 2) and five days (day six). These outbreaks affected between 15 and 427 cases (median 158) and lasted between five and 22 days (median 13.5 days). One study</w:t>
      </w:r>
      <w:r w:rsidR="00A320FD">
        <w:rPr>
          <w:vertAlign w:val="superscript"/>
        </w:rPr>
        <w:t>40</w:t>
      </w:r>
      <w:r>
        <w:t xml:space="preserve"> reported that </w:t>
      </w:r>
      <w:r w:rsidR="000A5F10">
        <w:t xml:space="preserve">the </w:t>
      </w:r>
      <w:r>
        <w:t>outbreak was recognised when surveillance identified a large number of gastroenteritis cases and triggered an alert. This outbreak affected 156 cases and lasted 17 days. None of the studies assessed the cost or patient/staff experience.</w:t>
      </w:r>
    </w:p>
    <w:p w14:paraId="2D8209C4" w14:textId="1F5CDB3F" w:rsidR="00EC7A69" w:rsidRDefault="00EC7A69" w:rsidP="00CF7116">
      <w:pPr>
        <w:spacing w:before="240" w:line="276" w:lineRule="auto"/>
      </w:pPr>
      <w:r>
        <w:t>There was additional evidence from excluded studies which retrospectively evaluated the utility of clinical symptoms</w:t>
      </w:r>
      <w:r w:rsidR="00A320FD">
        <w:rPr>
          <w:vertAlign w:val="superscript"/>
        </w:rPr>
        <w:t>49,50</w:t>
      </w:r>
      <w:r>
        <w:t xml:space="preserve"> or diagnostic tests</w:t>
      </w:r>
      <w:r w:rsidR="00A320FD">
        <w:rPr>
          <w:vertAlign w:val="superscript"/>
        </w:rPr>
        <w:t>51-54</w:t>
      </w:r>
      <w:r>
        <w:t xml:space="preserve"> for norovirus outbreak detection. One study</w:t>
      </w:r>
      <w:r w:rsidR="00A320FD">
        <w:rPr>
          <w:vertAlign w:val="superscript"/>
        </w:rPr>
        <w:t>49</w:t>
      </w:r>
      <w:r>
        <w:t xml:space="preserve"> reported that </w:t>
      </w:r>
      <w:r w:rsidR="00FB43A3">
        <w:t xml:space="preserve">in comparison to </w:t>
      </w:r>
      <w:r w:rsidR="00E2003E">
        <w:t>polymerase chain reaction (</w:t>
      </w:r>
      <w:r w:rsidR="00FB43A3">
        <w:t>PCR</w:t>
      </w:r>
      <w:r w:rsidR="00E2003E">
        <w:t>)</w:t>
      </w:r>
      <w:r w:rsidR="00FB43A3">
        <w:t xml:space="preserve"> testing, </w:t>
      </w:r>
      <w:r>
        <w:t xml:space="preserve">Kaplan’s criteria were 63.9% sensitive and 100% specific in distinguishing confirmed norovirus outbreak from non-viral outbreaks. However, they also reported that only 3.3% of norovirus and 1.2% of non-viral outbreak reports provided sufficient clinical information for the Kaplan’s criteria to be applied. A newly developed CART (classification and regression tree) modelling which assessed </w:t>
      </w:r>
      <w:r w:rsidR="000A5F10">
        <w:t xml:space="preserve">the </w:t>
      </w:r>
      <w:r>
        <w:t xml:space="preserve">proportion of cases with bloody stools, </w:t>
      </w:r>
      <w:r w:rsidR="000A5F10">
        <w:t xml:space="preserve">the </w:t>
      </w:r>
      <w:r>
        <w:t xml:space="preserve">proportion of cases with diarrhoea, </w:t>
      </w:r>
      <w:r w:rsidR="000A5F10">
        <w:t xml:space="preserve">the </w:t>
      </w:r>
      <w:r>
        <w:t xml:space="preserve">proportion of cases with fever, </w:t>
      </w:r>
      <w:r w:rsidR="000A5F10">
        <w:t xml:space="preserve">the </w:t>
      </w:r>
      <w:r>
        <w:t>proportion of cases with vomiting, the fever-to-vomit ratio, and the diarrhoea-to-vomit ratio was 85.7% sensitive and 92.4% specific</w:t>
      </w:r>
      <w:r w:rsidR="000A5F10">
        <w:t>. It was also reported that</w:t>
      </w:r>
      <w:r>
        <w:t xml:space="preserve"> 24.9% norovirus outbreaks </w:t>
      </w:r>
      <w:r w:rsidR="000A5F10">
        <w:t xml:space="preserve">and </w:t>
      </w:r>
      <w:r>
        <w:t>20.6% non-viral outbreaks had sufficient data to apply the CART characteristics. Another study</w:t>
      </w:r>
      <w:r w:rsidR="00A320FD">
        <w:rPr>
          <w:vertAlign w:val="superscript"/>
        </w:rPr>
        <w:t>50</w:t>
      </w:r>
      <w:r>
        <w:t xml:space="preserve"> reported that Kaplan’s criteria were the most useful clinical criteria with 68% and 99% of sensitivity and specificity. They reported that </w:t>
      </w:r>
      <w:r w:rsidR="000A5F10">
        <w:t xml:space="preserve">the </w:t>
      </w:r>
      <w:r>
        <w:t>fever-to-vomiting and the diarrhoea-to-vomiting ratio</w:t>
      </w:r>
      <w:r w:rsidR="000A5F10">
        <w:t>s</w:t>
      </w:r>
      <w:r>
        <w:t xml:space="preserve"> were more sensitive but were also less specific and therefore have less utility in recognising norovirus outbreaks.</w:t>
      </w:r>
      <w:r w:rsidRPr="00B66824">
        <w:t xml:space="preserve"> </w:t>
      </w:r>
      <w:r>
        <w:t>However it needs to be noted that both studies based their conclusions on published reports of resolved outbreaks and it is not possible to determine whether these criteria would be sensitive enough to recognise the outbreak early when only a small number of cases are affected. Four studies used PCR and enzyme immunoassays (EIA) to evaluate their ability to identify norovirus outbreaks. The study used two different EIA kits and assessed them for their utility to identify norovirus outbreaks. Two studies</w:t>
      </w:r>
      <w:r w:rsidR="00A320FD">
        <w:rPr>
          <w:vertAlign w:val="superscript"/>
        </w:rPr>
        <w:t>51,54</w:t>
      </w:r>
      <w:r w:rsidRPr="00B66824">
        <w:rPr>
          <w:vertAlign w:val="superscript"/>
        </w:rPr>
        <w:t xml:space="preserve"> </w:t>
      </w:r>
      <w:r>
        <w:t>concluded that EIA is less sensitive than PCR and that while the kits have some value in recognising the outbreaks early, any gastroenteritis outbreak which tested negative by EIA should still be investigated by PCR for confirmation. Another study</w:t>
      </w:r>
      <w:r w:rsidR="00A320FD">
        <w:rPr>
          <w:vertAlign w:val="superscript"/>
        </w:rPr>
        <w:t>52</w:t>
      </w:r>
      <w:r>
        <w:t xml:space="preserve"> reported that obtaining at least one NV-positive sample by either EIA or PCR from a total of 2-4 submitted samples was sufficient to establish NV as a cause of an outbreak. However, they also reported that to avoid false-negative results </w:t>
      </w:r>
      <w:r w:rsidR="000A5F10">
        <w:t>for an</w:t>
      </w:r>
      <w:r>
        <w:t xml:space="preserve"> outbreak </w:t>
      </w:r>
      <w:r w:rsidR="000A5F10">
        <w:t xml:space="preserve">affecting </w:t>
      </w:r>
      <w:r>
        <w:t>under 10%</w:t>
      </w:r>
      <w:r w:rsidR="000A5F10">
        <w:t xml:space="preserve"> of patients</w:t>
      </w:r>
      <w:r>
        <w:t>, at least three samples need to be submitted for testing with PCR and at least six for testing with EIA. The last study</w:t>
      </w:r>
      <w:r w:rsidR="00A320FD">
        <w:rPr>
          <w:vertAlign w:val="superscript"/>
        </w:rPr>
        <w:t>53</w:t>
      </w:r>
      <w:r>
        <w:t xml:space="preserve"> </w:t>
      </w:r>
      <w:r w:rsidR="00FB43A3">
        <w:t xml:space="preserve">reported </w:t>
      </w:r>
      <w:r>
        <w:t xml:space="preserve">that </w:t>
      </w:r>
      <w:r>
        <w:lastRenderedPageBreak/>
        <w:t xml:space="preserve">if all outbreak specimens contained norovirus, there would be over 99% likelihood of identifying norovirus as a causative agent when at least three specimens are sent for testing with PCR and EIA. They also reported that testing more than five true-negative samples may result in false-positive results. </w:t>
      </w:r>
    </w:p>
    <w:p w14:paraId="70BD5DD2" w14:textId="77777777" w:rsidR="00EC7A69" w:rsidRDefault="00EC7A69" w:rsidP="00CF7116">
      <w:pPr>
        <w:pStyle w:val="Heading3"/>
        <w:spacing w:line="276" w:lineRule="auto"/>
      </w:pPr>
      <w:r>
        <w:t>When should the end of the outbreak be declared?</w:t>
      </w:r>
    </w:p>
    <w:p w14:paraId="2BC53548" w14:textId="32BC2692" w:rsidR="00EC7A69" w:rsidRDefault="00EC7A69" w:rsidP="00CF7116">
      <w:pPr>
        <w:spacing w:before="240" w:line="276" w:lineRule="auto"/>
      </w:pPr>
      <w:r w:rsidRPr="0095272F">
        <w:t xml:space="preserve">There was </w:t>
      </w:r>
      <w:r w:rsidRPr="00FB43A3">
        <w:t>moderate evidence</w:t>
      </w:r>
      <w:r>
        <w:t xml:space="preserve"> from eleven outbreak studies,</w:t>
      </w:r>
      <w:r w:rsidRPr="00225F05">
        <w:rPr>
          <w:vertAlign w:val="superscript"/>
        </w:rPr>
        <w:t>2</w:t>
      </w:r>
      <w:r w:rsidR="00A320FD">
        <w:rPr>
          <w:vertAlign w:val="superscript"/>
        </w:rPr>
        <w:t>2</w:t>
      </w:r>
      <w:r>
        <w:rPr>
          <w:vertAlign w:val="superscript"/>
        </w:rPr>
        <w:t>,</w:t>
      </w:r>
      <w:r w:rsidR="00A320FD">
        <w:rPr>
          <w:vertAlign w:val="superscript"/>
        </w:rPr>
        <w:t>2</w:t>
      </w:r>
      <w:r>
        <w:rPr>
          <w:vertAlign w:val="superscript"/>
        </w:rPr>
        <w:t>5,</w:t>
      </w:r>
      <w:r w:rsidR="00A320FD">
        <w:rPr>
          <w:vertAlign w:val="superscript"/>
        </w:rPr>
        <w:t>2</w:t>
      </w:r>
      <w:r>
        <w:rPr>
          <w:vertAlign w:val="superscript"/>
        </w:rPr>
        <w:t>8,</w:t>
      </w:r>
      <w:r w:rsidR="00A320FD">
        <w:rPr>
          <w:vertAlign w:val="superscript"/>
        </w:rPr>
        <w:t>30-32,34,36,38,39,55</w:t>
      </w:r>
      <w:r>
        <w:t xml:space="preserve"> which reported different triggers for declaring the end of outbreaks in healthcare settings. Three studies</w:t>
      </w:r>
      <w:r w:rsidR="00A320FD" w:rsidRPr="00A320FD">
        <w:rPr>
          <w:vertAlign w:val="superscript"/>
        </w:rPr>
        <w:t>2</w:t>
      </w:r>
      <w:r>
        <w:rPr>
          <w:vertAlign w:val="superscript"/>
        </w:rPr>
        <w:t>5,</w:t>
      </w:r>
      <w:r w:rsidR="00A320FD">
        <w:rPr>
          <w:vertAlign w:val="superscript"/>
        </w:rPr>
        <w:t>2</w:t>
      </w:r>
      <w:r>
        <w:rPr>
          <w:vertAlign w:val="superscript"/>
        </w:rPr>
        <w:t>8,3</w:t>
      </w:r>
      <w:r w:rsidR="00A320FD">
        <w:rPr>
          <w:vertAlign w:val="superscript"/>
        </w:rPr>
        <w:t>3</w:t>
      </w:r>
      <w:r>
        <w:t xml:space="preserve"> declared the end of an outbreak five days after last case was identified, one study</w:t>
      </w:r>
      <w:r w:rsidR="00A320FD">
        <w:rPr>
          <w:vertAlign w:val="superscript"/>
        </w:rPr>
        <w:t>30</w:t>
      </w:r>
      <w:r>
        <w:t xml:space="preserve"> five days after last symptoms occurred, one study</w:t>
      </w:r>
      <w:r w:rsidR="00A320FD">
        <w:rPr>
          <w:vertAlign w:val="superscript"/>
        </w:rPr>
        <w:t>39</w:t>
      </w:r>
      <w:r>
        <w:t xml:space="preserve"> 72 hours after last symptoms occurred, one study</w:t>
      </w:r>
      <w:r w:rsidR="00A320FD">
        <w:rPr>
          <w:vertAlign w:val="superscript"/>
        </w:rPr>
        <w:t>38</w:t>
      </w:r>
      <w:r>
        <w:t xml:space="preserve"> two days after last symptoms occurred, one study</w:t>
      </w:r>
      <w:r w:rsidRPr="00F14A75">
        <w:rPr>
          <w:vertAlign w:val="superscript"/>
        </w:rPr>
        <w:t>2</w:t>
      </w:r>
      <w:r w:rsidR="00A320FD">
        <w:rPr>
          <w:vertAlign w:val="superscript"/>
        </w:rPr>
        <w:t>2</w:t>
      </w:r>
      <w:r>
        <w:t xml:space="preserve"> 24 hours after last case was identified, three studies</w:t>
      </w:r>
      <w:r w:rsidR="00A320FD">
        <w:rPr>
          <w:vertAlign w:val="superscript"/>
        </w:rPr>
        <w:t>34,36,55</w:t>
      </w:r>
      <w:r>
        <w:t xml:space="preserve"> the day the last case was identified and one study</w:t>
      </w:r>
      <w:r w:rsidR="00A320FD">
        <w:rPr>
          <w:vertAlign w:val="superscript"/>
        </w:rPr>
        <w:t>31</w:t>
      </w:r>
      <w:r>
        <w:t xml:space="preserve"> when the number of cases started to decrease. None of the studies reported a second wave or any cases occurring after the outbreak was declared </w:t>
      </w:r>
      <w:r w:rsidR="00FB43A3">
        <w:t xml:space="preserve">over, </w:t>
      </w:r>
      <w:r>
        <w:t>except in one outbreak</w:t>
      </w:r>
      <w:r w:rsidR="00A320FD" w:rsidRPr="00A320FD">
        <w:rPr>
          <w:vertAlign w:val="superscript"/>
        </w:rPr>
        <w:t>2</w:t>
      </w:r>
      <w:r w:rsidRPr="00F14A75">
        <w:rPr>
          <w:vertAlign w:val="superscript"/>
        </w:rPr>
        <w:t>5</w:t>
      </w:r>
      <w:r>
        <w:t xml:space="preserve"> where three new cases were identified which were transferred from elsewhere and represented a re-introduction rather </w:t>
      </w:r>
      <w:r w:rsidR="000A5F10">
        <w:t xml:space="preserve">a </w:t>
      </w:r>
      <w:r>
        <w:t>than continuing outbreak. None of the studies assessed the cost or patient/staff experience.</w:t>
      </w:r>
    </w:p>
    <w:p w14:paraId="4799C586" w14:textId="1198778E" w:rsidR="00EC7A69" w:rsidRDefault="00EC7A69" w:rsidP="00CF7116">
      <w:pPr>
        <w:spacing w:before="240" w:line="276" w:lineRule="auto"/>
      </w:pPr>
      <w:r w:rsidRPr="0095272F">
        <w:t xml:space="preserve">There was </w:t>
      </w:r>
      <w:r w:rsidRPr="00FB43A3">
        <w:t>inconsistent evidence</w:t>
      </w:r>
      <w:r>
        <w:t xml:space="preserve"> from three outbreak studies,</w:t>
      </w:r>
      <w:r w:rsidR="00A320FD">
        <w:rPr>
          <w:vertAlign w:val="superscript"/>
        </w:rPr>
        <w:t>41,47,48</w:t>
      </w:r>
      <w:r>
        <w:t xml:space="preserve"> which reported different triggers for declaring the end of outbreaks in healthcare settings. One study</w:t>
      </w:r>
      <w:r w:rsidR="00A320FD">
        <w:rPr>
          <w:vertAlign w:val="superscript"/>
        </w:rPr>
        <w:t>48</w:t>
      </w:r>
      <w:r w:rsidRPr="00F14A75">
        <w:t xml:space="preserve"> </w:t>
      </w:r>
      <w:r>
        <w:t xml:space="preserve">reported that the end of the outbreak was declared a day after </w:t>
      </w:r>
      <w:r w:rsidR="000A5F10">
        <w:t xml:space="preserve">the </w:t>
      </w:r>
      <w:r>
        <w:t>last case was identified and two studies</w:t>
      </w:r>
      <w:r w:rsidR="00A320FD">
        <w:rPr>
          <w:vertAlign w:val="superscript"/>
        </w:rPr>
        <w:t>41,47</w:t>
      </w:r>
      <w:r>
        <w:t xml:space="preserve"> reported that the end </w:t>
      </w:r>
      <w:r w:rsidR="000A5F10">
        <w:t>was</w:t>
      </w:r>
      <w:r>
        <w:t xml:space="preserve"> declared on the last day th</w:t>
      </w:r>
      <w:r w:rsidR="000A5F10">
        <w:t>at</w:t>
      </w:r>
      <w:r>
        <w:t xml:space="preserve"> cases were identified. </w:t>
      </w:r>
      <w:r w:rsidRPr="00F14A75">
        <w:t>None of the studies reported a second wave or any cases occurring after the outbreak</w:t>
      </w:r>
      <w:r>
        <w:t xml:space="preserve"> and none of the studies assessed the cost or patient/staff experience</w:t>
      </w:r>
      <w:r w:rsidR="00FB43A3">
        <w:t xml:space="preserve">. </w:t>
      </w:r>
    </w:p>
    <w:p w14:paraId="62D786AC" w14:textId="4EC2CCA8" w:rsidR="00D14806" w:rsidRDefault="00D14806" w:rsidP="00CF7116">
      <w:pPr>
        <w:spacing w:before="240" w:line="276" w:lineRule="auto"/>
        <w:rPr>
          <w:i/>
          <w:iCs/>
        </w:rPr>
      </w:pPr>
      <w:r>
        <w:rPr>
          <w:i/>
          <w:iCs/>
        </w:rPr>
        <w:t xml:space="preserve">Upon a review of the above evidence, the </w:t>
      </w:r>
      <w:r w:rsidRPr="00FB43A3">
        <w:rPr>
          <w:i/>
          <w:iCs/>
        </w:rPr>
        <w:t>W</w:t>
      </w:r>
      <w:r>
        <w:rPr>
          <w:i/>
          <w:iCs/>
        </w:rPr>
        <w:t xml:space="preserve">orking </w:t>
      </w:r>
      <w:r w:rsidRPr="00FB43A3">
        <w:rPr>
          <w:i/>
          <w:iCs/>
        </w:rPr>
        <w:t>P</w:t>
      </w:r>
      <w:r>
        <w:rPr>
          <w:i/>
          <w:iCs/>
        </w:rPr>
        <w:t>arty concluded that they</w:t>
      </w:r>
      <w:r w:rsidRPr="00FB43A3">
        <w:rPr>
          <w:i/>
          <w:iCs/>
        </w:rPr>
        <w:t xml:space="preserve"> have no reason to disagree with the currently agreed definition of a confirmed outbreak. </w:t>
      </w:r>
      <w:r>
        <w:rPr>
          <w:i/>
          <w:iCs/>
        </w:rPr>
        <w:t xml:space="preserve">It may be prudent to </w:t>
      </w:r>
      <w:r w:rsidRPr="00FB43A3">
        <w:rPr>
          <w:i/>
          <w:iCs/>
        </w:rPr>
        <w:t>apply the guideline</w:t>
      </w:r>
      <w:r>
        <w:rPr>
          <w:i/>
          <w:iCs/>
        </w:rPr>
        <w:t xml:space="preserve"> recommendations earlier,</w:t>
      </w:r>
      <w:r w:rsidRPr="00FB43A3">
        <w:rPr>
          <w:i/>
          <w:iCs/>
        </w:rPr>
        <w:t xml:space="preserve"> when the</w:t>
      </w:r>
      <w:r>
        <w:rPr>
          <w:i/>
          <w:iCs/>
        </w:rPr>
        <w:t>re is a</w:t>
      </w:r>
      <w:r w:rsidRPr="00FB43A3">
        <w:rPr>
          <w:i/>
          <w:iCs/>
        </w:rPr>
        <w:t xml:space="preserve"> </w:t>
      </w:r>
      <w:r>
        <w:rPr>
          <w:i/>
          <w:iCs/>
        </w:rPr>
        <w:t>suspicion</w:t>
      </w:r>
      <w:r w:rsidRPr="00FB43A3">
        <w:rPr>
          <w:i/>
          <w:iCs/>
        </w:rPr>
        <w:t xml:space="preserve"> </w:t>
      </w:r>
      <w:r>
        <w:rPr>
          <w:i/>
          <w:iCs/>
        </w:rPr>
        <w:t xml:space="preserve">that </w:t>
      </w:r>
      <w:r w:rsidRPr="00FB43A3">
        <w:rPr>
          <w:i/>
          <w:iCs/>
        </w:rPr>
        <w:t>there may be an outbreak.</w:t>
      </w:r>
      <w:r>
        <w:rPr>
          <w:i/>
          <w:iCs/>
        </w:rPr>
        <w:t xml:space="preserve"> An outbreak may be confirmed following the diagnosis of norovirus using molecular methods. The Working Party agreed that </w:t>
      </w:r>
      <w:r w:rsidRPr="00FB43A3">
        <w:rPr>
          <w:i/>
          <w:iCs/>
        </w:rPr>
        <w:t xml:space="preserve">Kaplan’s criteria </w:t>
      </w:r>
      <w:r>
        <w:rPr>
          <w:i/>
          <w:iCs/>
        </w:rPr>
        <w:t xml:space="preserve">are </w:t>
      </w:r>
      <w:r w:rsidRPr="00FB43A3">
        <w:rPr>
          <w:i/>
          <w:iCs/>
        </w:rPr>
        <w:t>less relevant</w:t>
      </w:r>
      <w:r>
        <w:rPr>
          <w:i/>
          <w:iCs/>
        </w:rPr>
        <w:t xml:space="preserve"> as molecular testing would confirm the outbreak sooner. However, Kaplan’s criteria may still </w:t>
      </w:r>
      <w:r w:rsidRPr="00FB43A3">
        <w:rPr>
          <w:i/>
          <w:iCs/>
        </w:rPr>
        <w:t>be us</w:t>
      </w:r>
      <w:r>
        <w:rPr>
          <w:i/>
          <w:iCs/>
        </w:rPr>
        <w:t>eful</w:t>
      </w:r>
      <w:r w:rsidRPr="00FB43A3">
        <w:rPr>
          <w:i/>
          <w:iCs/>
        </w:rPr>
        <w:t xml:space="preserve"> for retrospective diagnosis</w:t>
      </w:r>
      <w:r>
        <w:rPr>
          <w:i/>
          <w:iCs/>
        </w:rPr>
        <w:t xml:space="preserve"> in settings where molecular testing is not readily available</w:t>
      </w:r>
      <w:r w:rsidRPr="00FB43A3">
        <w:rPr>
          <w:i/>
          <w:iCs/>
        </w:rPr>
        <w:t xml:space="preserve">. </w:t>
      </w:r>
      <w:r w:rsidR="00FB43A3" w:rsidRPr="00FB43A3">
        <w:rPr>
          <w:i/>
          <w:iCs/>
        </w:rPr>
        <w:t>The W</w:t>
      </w:r>
      <w:r>
        <w:rPr>
          <w:i/>
          <w:iCs/>
        </w:rPr>
        <w:t xml:space="preserve">orking </w:t>
      </w:r>
      <w:r w:rsidR="00FB43A3" w:rsidRPr="00FB43A3">
        <w:rPr>
          <w:i/>
          <w:iCs/>
        </w:rPr>
        <w:t>P</w:t>
      </w:r>
      <w:r>
        <w:rPr>
          <w:i/>
          <w:iCs/>
        </w:rPr>
        <w:t>arty</w:t>
      </w:r>
      <w:r w:rsidR="00FB43A3" w:rsidRPr="00FB43A3">
        <w:rPr>
          <w:i/>
          <w:iCs/>
        </w:rPr>
        <w:t xml:space="preserve"> noted that there is no agreed definition of declaring an end to an outbreak of </w:t>
      </w:r>
      <w:r>
        <w:rPr>
          <w:i/>
          <w:iCs/>
        </w:rPr>
        <w:t>norovirus</w:t>
      </w:r>
      <w:r w:rsidR="00FB43A3" w:rsidRPr="00FB43A3">
        <w:rPr>
          <w:i/>
          <w:iCs/>
        </w:rPr>
        <w:t xml:space="preserve"> infection, but there is moderate evidence that a variable period of up to </w:t>
      </w:r>
      <w:r>
        <w:rPr>
          <w:i/>
          <w:iCs/>
        </w:rPr>
        <w:t>five</w:t>
      </w:r>
      <w:r w:rsidR="00FB43A3" w:rsidRPr="00FB43A3">
        <w:rPr>
          <w:i/>
          <w:iCs/>
        </w:rPr>
        <w:t xml:space="preserve"> days is adequate. Pragmatically, the W</w:t>
      </w:r>
      <w:r>
        <w:rPr>
          <w:i/>
          <w:iCs/>
        </w:rPr>
        <w:t xml:space="preserve">orking </w:t>
      </w:r>
      <w:r w:rsidR="00FB43A3" w:rsidRPr="00FB43A3">
        <w:rPr>
          <w:i/>
          <w:iCs/>
        </w:rPr>
        <w:t>P</w:t>
      </w:r>
      <w:r>
        <w:rPr>
          <w:i/>
          <w:iCs/>
        </w:rPr>
        <w:t>arty</w:t>
      </w:r>
      <w:r w:rsidR="00FB43A3" w:rsidRPr="00FB43A3">
        <w:rPr>
          <w:i/>
          <w:iCs/>
        </w:rPr>
        <w:t xml:space="preserve"> recommends that an outbreak can be declared over after 72 hours following uncontained diarrhoea or vomiting, but that a local risk assessment may be used to declare an earlier end point if vomiting and diarrhoea has been contained, or if the clinical risk of closure is greater than the risk of remaining open (e.g. critical care, renal dialysis, neonatal, coronary care). </w:t>
      </w:r>
      <w:r>
        <w:rPr>
          <w:i/>
          <w:iCs/>
        </w:rPr>
        <w:t xml:space="preserve">The reasoning behind the 72-hour period considers an incubation period which is usually approximately 24 hours and the shedding of infectious virus, which for most individuals occurs for approximately 48 hours. Thus, the period of 72 hours should cover most cases where symptomatic and asymptomatic individuals shed an infectious virus. </w:t>
      </w:r>
    </w:p>
    <w:p w14:paraId="713B929F" w14:textId="77777777" w:rsidR="00EC7A69" w:rsidRPr="00D14806" w:rsidRDefault="00EC7A69" w:rsidP="00CF7116">
      <w:pPr>
        <w:spacing w:line="276" w:lineRule="auto"/>
        <w:rPr>
          <w:b/>
          <w:bCs/>
        </w:rPr>
      </w:pPr>
      <w:r w:rsidRPr="00D14806">
        <w:rPr>
          <w:b/>
          <w:bCs/>
        </w:rPr>
        <w:t>Recommendations:</w:t>
      </w:r>
    </w:p>
    <w:p w14:paraId="1574E203" w14:textId="61905E07" w:rsidR="00EC7A69" w:rsidRPr="009E6247" w:rsidRDefault="00D14806" w:rsidP="00CF7116">
      <w:pPr>
        <w:spacing w:before="240" w:line="276" w:lineRule="auto"/>
      </w:pPr>
      <w:r w:rsidRPr="00D14806">
        <w:rPr>
          <w:b/>
          <w:bCs/>
        </w:rPr>
        <w:t>4.1:</w:t>
      </w:r>
      <w:r>
        <w:t xml:space="preserve"> No recommendation.</w:t>
      </w:r>
    </w:p>
    <w:p w14:paraId="400F577E" w14:textId="77777777" w:rsidR="00EC7A69" w:rsidRPr="00D14806" w:rsidRDefault="00EC7A69" w:rsidP="00CF7116">
      <w:pPr>
        <w:spacing w:line="276" w:lineRule="auto"/>
        <w:rPr>
          <w:b/>
          <w:bCs/>
        </w:rPr>
      </w:pPr>
      <w:r w:rsidRPr="00D14806">
        <w:rPr>
          <w:b/>
          <w:bCs/>
        </w:rPr>
        <w:lastRenderedPageBreak/>
        <w:t>Good practice points:</w:t>
      </w:r>
    </w:p>
    <w:p w14:paraId="26E8206A" w14:textId="22F5E82B" w:rsidR="00FB43A3" w:rsidRDefault="00FB43A3" w:rsidP="00CF7116">
      <w:pPr>
        <w:spacing w:before="240" w:line="276" w:lineRule="auto"/>
      </w:pPr>
      <w:r w:rsidRPr="00D14806">
        <w:rPr>
          <w:b/>
          <w:bCs/>
        </w:rPr>
        <w:t>GPP</w:t>
      </w:r>
      <w:r w:rsidR="00953810">
        <w:rPr>
          <w:b/>
          <w:bCs/>
        </w:rPr>
        <w:t xml:space="preserve"> </w:t>
      </w:r>
      <w:r w:rsidR="00D14806">
        <w:rPr>
          <w:b/>
          <w:bCs/>
        </w:rPr>
        <w:t>4.</w:t>
      </w:r>
      <w:r w:rsidRPr="00D14806">
        <w:rPr>
          <w:b/>
          <w:bCs/>
        </w:rPr>
        <w:t>1:</w:t>
      </w:r>
      <w:r>
        <w:t xml:space="preserve"> </w:t>
      </w:r>
      <w:r w:rsidR="00D14806">
        <w:t>I</w:t>
      </w:r>
      <w:r>
        <w:t>f an outbreak is suspected, consider introducing control measures before laboratory results are available</w:t>
      </w:r>
      <w:r w:rsidR="00D14806">
        <w:t>.</w:t>
      </w:r>
    </w:p>
    <w:p w14:paraId="43AB0E8B" w14:textId="4ED8842D" w:rsidR="00D14806" w:rsidRDefault="00D14806" w:rsidP="00CF7116">
      <w:pPr>
        <w:spacing w:before="240" w:line="276" w:lineRule="auto"/>
      </w:pPr>
      <w:r w:rsidRPr="00D14806">
        <w:rPr>
          <w:b/>
          <w:bCs/>
        </w:rPr>
        <w:t>GPP</w:t>
      </w:r>
      <w:r w:rsidR="00953810">
        <w:rPr>
          <w:b/>
          <w:bCs/>
        </w:rPr>
        <w:t xml:space="preserve"> </w:t>
      </w:r>
      <w:r w:rsidRPr="00D14806">
        <w:rPr>
          <w:b/>
          <w:bCs/>
        </w:rPr>
        <w:t>4.2:</w:t>
      </w:r>
      <w:r>
        <w:t xml:space="preserve"> If a sporadic case of norovirus is identified, consider introducing control measures to prevent an outbreak (for the next 72 hours). </w:t>
      </w:r>
    </w:p>
    <w:p w14:paraId="3230377C" w14:textId="3A582957" w:rsidR="00FB43A3" w:rsidRDefault="00FB43A3" w:rsidP="00CF7116">
      <w:pPr>
        <w:spacing w:before="240" w:line="276" w:lineRule="auto"/>
      </w:pPr>
      <w:r w:rsidRPr="00D14806">
        <w:rPr>
          <w:b/>
          <w:bCs/>
        </w:rPr>
        <w:t>GPP</w:t>
      </w:r>
      <w:r w:rsidR="00953810">
        <w:rPr>
          <w:b/>
          <w:bCs/>
        </w:rPr>
        <w:t xml:space="preserve"> </w:t>
      </w:r>
      <w:r w:rsidR="00D14806" w:rsidRPr="00D14806">
        <w:rPr>
          <w:b/>
          <w:bCs/>
        </w:rPr>
        <w:t>4.</w:t>
      </w:r>
      <w:r w:rsidR="00D14806">
        <w:rPr>
          <w:b/>
          <w:bCs/>
        </w:rPr>
        <w:t>3</w:t>
      </w:r>
      <w:r w:rsidRPr="00D14806">
        <w:rPr>
          <w:b/>
          <w:bCs/>
        </w:rPr>
        <w:t>:</w:t>
      </w:r>
      <w:r>
        <w:t xml:space="preserve"> </w:t>
      </w:r>
      <w:r w:rsidR="00D14806">
        <w:t xml:space="preserve">Whenever possible, maintain the control measures in place for </w:t>
      </w:r>
      <w:r>
        <w:t>72</w:t>
      </w:r>
      <w:r w:rsidR="00D14806">
        <w:t xml:space="preserve"> </w:t>
      </w:r>
      <w:r>
        <w:t>h</w:t>
      </w:r>
      <w:r w:rsidR="00D14806">
        <w:t>ou</w:t>
      </w:r>
      <w:r>
        <w:t xml:space="preserve">rs </w:t>
      </w:r>
      <w:r w:rsidR="00D14806">
        <w:t xml:space="preserve">after </w:t>
      </w:r>
      <w:r w:rsidR="000A5F10">
        <w:t xml:space="preserve">the </w:t>
      </w:r>
      <w:r w:rsidR="00D14806">
        <w:t xml:space="preserve">last </w:t>
      </w:r>
      <w:r w:rsidR="000A5F10">
        <w:t xml:space="preserve">episode of </w:t>
      </w:r>
      <w:r w:rsidR="00D14806">
        <w:t xml:space="preserve">vomiting </w:t>
      </w:r>
      <w:r w:rsidR="000A5F10">
        <w:t>or</w:t>
      </w:r>
      <w:r w:rsidR="00D14806">
        <w:t xml:space="preserve"> diarrhoea, before declaring the end of an outbreak. </w:t>
      </w:r>
    </w:p>
    <w:p w14:paraId="78FA60D0" w14:textId="77777777" w:rsidR="00EC7A69" w:rsidRDefault="00EC7A69" w:rsidP="00CF7116">
      <w:pPr>
        <w:spacing w:before="240" w:line="276" w:lineRule="auto"/>
      </w:pPr>
    </w:p>
    <w:p w14:paraId="484E4E02" w14:textId="1F13B3BE" w:rsidR="00E758C0" w:rsidRDefault="00E758C0" w:rsidP="00CF7116">
      <w:pPr>
        <w:pStyle w:val="Heading2"/>
        <w:spacing w:before="240" w:after="160" w:line="276" w:lineRule="auto"/>
      </w:pPr>
      <w:r>
        <w:t>8.5</w:t>
      </w:r>
      <w:r w:rsidRPr="00E758C0">
        <w:tab/>
      </w:r>
      <w:r w:rsidR="00FB43A3" w:rsidRPr="00FB43A3">
        <w:t>What is the effective communication at the start of an outbreak?</w:t>
      </w:r>
    </w:p>
    <w:p w14:paraId="47071FF3" w14:textId="0B566355" w:rsidR="00E758C0" w:rsidRPr="00FB43A3" w:rsidRDefault="00E758C0" w:rsidP="00CF7116">
      <w:pPr>
        <w:spacing w:before="240" w:line="276" w:lineRule="auto"/>
      </w:pPr>
      <w:r w:rsidRPr="00FB43A3">
        <w:t xml:space="preserve">Effective communication can mean different things to different people, therefore by stating and recommending </w:t>
      </w:r>
      <w:r w:rsidR="00FB43A3">
        <w:t>to whom</w:t>
      </w:r>
      <w:r w:rsidRPr="00FB43A3">
        <w:t xml:space="preserve"> and what to communicate could alter the course of the outbreak</w:t>
      </w:r>
      <w:r w:rsidR="00FB43A3">
        <w:t>,</w:t>
      </w:r>
      <w:r w:rsidRPr="00FB43A3">
        <w:t xml:space="preserve"> potentially preventing further cases and </w:t>
      </w:r>
      <w:r w:rsidR="00FB43A3">
        <w:t>shorte</w:t>
      </w:r>
      <w:r w:rsidR="00161B15">
        <w:t>ning</w:t>
      </w:r>
      <w:r w:rsidR="00FB43A3">
        <w:t xml:space="preserve"> its duration. </w:t>
      </w:r>
      <w:r w:rsidRPr="00FB43A3">
        <w:t>Consideration of w</w:t>
      </w:r>
      <w:r w:rsidR="00FB43A3">
        <w:t>hat</w:t>
      </w:r>
      <w:r w:rsidRPr="00FB43A3">
        <w:t xml:space="preserve"> to communicate </w:t>
      </w:r>
      <w:r w:rsidR="00FB43A3">
        <w:t>may depend on</w:t>
      </w:r>
      <w:r w:rsidRPr="00FB43A3">
        <w:t xml:space="preserve"> the role that individual has within the management of the outbreak</w:t>
      </w:r>
      <w:r w:rsidR="00FB43A3">
        <w:t>. F</w:t>
      </w:r>
      <w:r w:rsidRPr="00FB43A3">
        <w:t>or example</w:t>
      </w:r>
      <w:r w:rsidR="00161B15">
        <w:t>,</w:t>
      </w:r>
      <w:r w:rsidRPr="00FB43A3">
        <w:t xml:space="preserve"> bed managers or discharge coordinators may need different information than the Director of Public Health or Director of Adult Social Services</w:t>
      </w:r>
      <w:r w:rsidR="00FB43A3">
        <w:t xml:space="preserve">. </w:t>
      </w:r>
      <w:r w:rsidRPr="00FB43A3">
        <w:t xml:space="preserve">The start of an outbreak could mean </w:t>
      </w:r>
      <w:r w:rsidR="00FB43A3">
        <w:t>that</w:t>
      </w:r>
      <w:r w:rsidRPr="00FB43A3">
        <w:t xml:space="preserve"> independent organisations </w:t>
      </w:r>
      <w:r w:rsidR="00FB43A3">
        <w:t>may be</w:t>
      </w:r>
      <w:r w:rsidRPr="00FB43A3">
        <w:t xml:space="preserve"> required to inform regulatory bodies which could lead to further independent investigations</w:t>
      </w:r>
      <w:r w:rsidR="00FB43A3">
        <w:t xml:space="preserve">. </w:t>
      </w:r>
      <w:r w:rsidRPr="00FB43A3">
        <w:t xml:space="preserve">Clear and precise communication </w:t>
      </w:r>
      <w:r w:rsidR="00FB43A3">
        <w:t>may also be beneficial</w:t>
      </w:r>
      <w:r w:rsidRPr="00FB43A3">
        <w:t xml:space="preserve"> for friends and families whose loved ones are affected by the outbreak, </w:t>
      </w:r>
      <w:r w:rsidR="00FB43A3">
        <w:t xml:space="preserve">as </w:t>
      </w:r>
      <w:r w:rsidRPr="00FB43A3">
        <w:t>they may have concerns regarding their rehabilitation or deterioration</w:t>
      </w:r>
      <w:r w:rsidR="00FB43A3">
        <w:t xml:space="preserve">. </w:t>
      </w:r>
      <w:r w:rsidR="00AC0F9C">
        <w:t>P</w:t>
      </w:r>
      <w:r w:rsidR="00FB43A3">
        <w:t>revious guidelines</w:t>
      </w:r>
      <w:r w:rsidR="00AC0F9C" w:rsidRPr="00AC0F9C">
        <w:rPr>
          <w:vertAlign w:val="superscript"/>
        </w:rPr>
        <w:t>1</w:t>
      </w:r>
      <w:r w:rsidR="00FB43A3">
        <w:t xml:space="preserve"> did not make any specific recommendations about the communication at the start of an outbreak, but they did acknowledge that the</w:t>
      </w:r>
      <w:r w:rsidR="00FB43A3" w:rsidRPr="00FB43A3">
        <w:t xml:space="preserve"> IPC</w:t>
      </w:r>
      <w:r w:rsidR="00FB43A3">
        <w:t xml:space="preserve"> teams</w:t>
      </w:r>
      <w:r w:rsidR="00FB43A3" w:rsidRPr="00FB43A3">
        <w:t xml:space="preserve"> should inform the managerial team </w:t>
      </w:r>
      <w:r w:rsidR="00FB43A3">
        <w:t xml:space="preserve">of the facilities </w:t>
      </w:r>
      <w:r w:rsidR="00364DC7">
        <w:t xml:space="preserve">affected </w:t>
      </w:r>
      <w:r w:rsidR="00FB43A3">
        <w:t xml:space="preserve">as well as </w:t>
      </w:r>
      <w:r w:rsidR="00FB43A3" w:rsidRPr="00FB43A3">
        <w:t>the local health protection organisations</w:t>
      </w:r>
      <w:r w:rsidR="00FB43A3">
        <w:t xml:space="preserve"> </w:t>
      </w:r>
      <w:r w:rsidR="00364DC7">
        <w:t>and when</w:t>
      </w:r>
      <w:r w:rsidR="00161B15">
        <w:t xml:space="preserve"> </w:t>
      </w:r>
      <w:r w:rsidR="00FB43A3">
        <w:t>the outbreak was</w:t>
      </w:r>
      <w:r w:rsidR="00FB43A3" w:rsidRPr="00FB43A3">
        <w:t xml:space="preserve"> declared</w:t>
      </w:r>
      <w:r w:rsidR="00FB43A3">
        <w:t>. They also stated</w:t>
      </w:r>
      <w:r w:rsidR="00FB43A3" w:rsidRPr="00FB43A3">
        <w:t xml:space="preserve"> that </w:t>
      </w:r>
      <w:r w:rsidR="00FB43A3">
        <w:t>the</w:t>
      </w:r>
      <w:r w:rsidR="00FB43A3" w:rsidRPr="00FB43A3">
        <w:t xml:space="preserve"> control measures should be introduced</w:t>
      </w:r>
      <w:r w:rsidR="00FB43A3">
        <w:t xml:space="preserve"> at the same time. It is however not clear whether this action is necessary, especially if control measures have been put in place. </w:t>
      </w:r>
    </w:p>
    <w:p w14:paraId="62345FA1" w14:textId="28AA3F41" w:rsidR="00EC7A69" w:rsidRDefault="00EC7A69" w:rsidP="00CF7116">
      <w:pPr>
        <w:spacing w:before="240" w:line="276" w:lineRule="auto"/>
      </w:pPr>
      <w:r w:rsidRPr="0095272F">
        <w:t xml:space="preserve">There </w:t>
      </w:r>
      <w:r w:rsidRPr="00FB43A3">
        <w:t>was moderate evidence</w:t>
      </w:r>
      <w:r>
        <w:t xml:space="preserve"> from twelve studies</w:t>
      </w:r>
      <w:r w:rsidR="00A320FD">
        <w:rPr>
          <w:vertAlign w:val="superscript"/>
        </w:rPr>
        <w:t>19,</w:t>
      </w:r>
      <w:r>
        <w:rPr>
          <w:vertAlign w:val="superscript"/>
        </w:rPr>
        <w:t>2</w:t>
      </w:r>
      <w:r w:rsidR="00A320FD">
        <w:rPr>
          <w:vertAlign w:val="superscript"/>
        </w:rPr>
        <w:t>2</w:t>
      </w:r>
      <w:r>
        <w:rPr>
          <w:vertAlign w:val="superscript"/>
        </w:rPr>
        <w:t>,</w:t>
      </w:r>
      <w:r w:rsidR="00A320FD">
        <w:rPr>
          <w:vertAlign w:val="superscript"/>
        </w:rPr>
        <w:t>2</w:t>
      </w:r>
      <w:r>
        <w:rPr>
          <w:vertAlign w:val="superscript"/>
        </w:rPr>
        <w:t>3,</w:t>
      </w:r>
      <w:r w:rsidR="00A320FD">
        <w:rPr>
          <w:vertAlign w:val="superscript"/>
        </w:rPr>
        <w:t>2</w:t>
      </w:r>
      <w:r>
        <w:rPr>
          <w:vertAlign w:val="superscript"/>
        </w:rPr>
        <w:t>6-</w:t>
      </w:r>
      <w:r w:rsidR="00A320FD">
        <w:rPr>
          <w:vertAlign w:val="superscript"/>
        </w:rPr>
        <w:t>30</w:t>
      </w:r>
      <w:r>
        <w:rPr>
          <w:vertAlign w:val="superscript"/>
        </w:rPr>
        <w:t>,</w:t>
      </w:r>
      <w:r w:rsidR="00A320FD">
        <w:rPr>
          <w:vertAlign w:val="superscript"/>
        </w:rPr>
        <w:t>32,38,55,56</w:t>
      </w:r>
      <w:r>
        <w:t xml:space="preserve"> describing a total of 13 outbreaks, all in hospital setting</w:t>
      </w:r>
      <w:r w:rsidR="00FB43A3">
        <w:t>s</w:t>
      </w:r>
      <w:r>
        <w:t xml:space="preserve">, which stated that the outbreak was reported to a hospital IPC/epidemiology team. These outbreaks affected between three and 355 cases (median 25), lasting from five </w:t>
      </w:r>
      <w:r w:rsidR="006C356B">
        <w:t>d</w:t>
      </w:r>
      <w:r>
        <w:t>ays to over two months (median 14 days). None of the studies specifically mentioned that reporting to the hospital team was beneficial for outbreak management, however in all except one study it was evident that the IPC/epidemiology team was responsible for outbreak investigation and providing advice about the control measures that needed to be implemented. Only in one outbreak,</w:t>
      </w:r>
      <w:r w:rsidR="00A320FD" w:rsidRPr="00A320FD">
        <w:rPr>
          <w:vertAlign w:val="superscript"/>
        </w:rPr>
        <w:t>1</w:t>
      </w:r>
      <w:r w:rsidRPr="00A71B40">
        <w:rPr>
          <w:vertAlign w:val="superscript"/>
        </w:rPr>
        <w:t>9</w:t>
      </w:r>
      <w:r>
        <w:t xml:space="preserve"> was </w:t>
      </w:r>
      <w:r w:rsidR="00FB43A3">
        <w:t xml:space="preserve">it </w:t>
      </w:r>
      <w:r>
        <w:t>reported that some</w:t>
      </w:r>
      <w:r w:rsidR="00FB43A3">
        <w:t xml:space="preserve"> (but</w:t>
      </w:r>
      <w:r>
        <w:t xml:space="preserve"> not all</w:t>
      </w:r>
      <w:r w:rsidR="00FB43A3">
        <w:t>)</w:t>
      </w:r>
      <w:r>
        <w:t xml:space="preserve">, control measures were introduced before the hospital team was informed. Following the introduction of the control measures, the outbreaks affected </w:t>
      </w:r>
      <w:r w:rsidR="006C356B">
        <w:t xml:space="preserve">a </w:t>
      </w:r>
      <w:r>
        <w:t>further one to 51 cases (median eight, based on nine studies</w:t>
      </w:r>
      <w:r w:rsidR="00A320FD">
        <w:rPr>
          <w:vertAlign w:val="superscript"/>
        </w:rPr>
        <w:t>19,</w:t>
      </w:r>
      <w:r>
        <w:rPr>
          <w:vertAlign w:val="superscript"/>
        </w:rPr>
        <w:t>2</w:t>
      </w:r>
      <w:r w:rsidR="00A320FD">
        <w:rPr>
          <w:vertAlign w:val="superscript"/>
        </w:rPr>
        <w:t>2</w:t>
      </w:r>
      <w:r>
        <w:rPr>
          <w:vertAlign w:val="superscript"/>
        </w:rPr>
        <w:t>,</w:t>
      </w:r>
      <w:r w:rsidR="00A320FD">
        <w:rPr>
          <w:vertAlign w:val="superscript"/>
        </w:rPr>
        <w:t>2</w:t>
      </w:r>
      <w:r>
        <w:rPr>
          <w:vertAlign w:val="superscript"/>
        </w:rPr>
        <w:t>3,</w:t>
      </w:r>
      <w:r w:rsidR="00A320FD">
        <w:rPr>
          <w:vertAlign w:val="superscript"/>
        </w:rPr>
        <w:t>2</w:t>
      </w:r>
      <w:r>
        <w:rPr>
          <w:vertAlign w:val="superscript"/>
        </w:rPr>
        <w:t>8-</w:t>
      </w:r>
      <w:r w:rsidR="00A320FD">
        <w:rPr>
          <w:vertAlign w:val="superscript"/>
        </w:rPr>
        <w:t>30</w:t>
      </w:r>
      <w:r>
        <w:rPr>
          <w:vertAlign w:val="superscript"/>
        </w:rPr>
        <w:t>,</w:t>
      </w:r>
      <w:r w:rsidR="00A320FD">
        <w:rPr>
          <w:vertAlign w:val="superscript"/>
        </w:rPr>
        <w:t>32,55,56</w:t>
      </w:r>
      <w:r>
        <w:t xml:space="preserve"> reporting ten outbreaks), lasting from two to 16 days (median six days, based on ten studies</w:t>
      </w:r>
      <w:r w:rsidR="00A320FD">
        <w:rPr>
          <w:vertAlign w:val="superscript"/>
        </w:rPr>
        <w:t xml:space="preserve">19,22,23,28-30,32,38,55,56 </w:t>
      </w:r>
      <w:r>
        <w:t xml:space="preserve">reporting eleven outbreaks). None of these studies reported cost or patient/staff experience. </w:t>
      </w:r>
    </w:p>
    <w:p w14:paraId="0E459F0C" w14:textId="54E10C3C" w:rsidR="00EC7A69" w:rsidRDefault="00EC7A69" w:rsidP="00A320FD">
      <w:r w:rsidRPr="0095272F">
        <w:t xml:space="preserve">There was </w:t>
      </w:r>
      <w:r w:rsidR="00FB43A3" w:rsidRPr="00FB43A3">
        <w:t>moderate evidence</w:t>
      </w:r>
      <w:r w:rsidR="00FB43A3">
        <w:t xml:space="preserve"> </w:t>
      </w:r>
      <w:r>
        <w:t>from 14 studies</w:t>
      </w:r>
      <w:r w:rsidR="00A320FD">
        <w:rPr>
          <w:vertAlign w:val="superscript"/>
        </w:rPr>
        <w:t>1</w:t>
      </w:r>
      <w:r w:rsidR="00A320FD" w:rsidRPr="00A71B40">
        <w:rPr>
          <w:vertAlign w:val="superscript"/>
        </w:rPr>
        <w:t>9,</w:t>
      </w:r>
      <w:r w:rsidR="00A320FD" w:rsidRPr="00A320FD">
        <w:rPr>
          <w:vertAlign w:val="superscript"/>
        </w:rPr>
        <w:t>20,2</w:t>
      </w:r>
      <w:r w:rsidR="00A320FD" w:rsidRPr="00A71B40">
        <w:rPr>
          <w:vertAlign w:val="superscript"/>
        </w:rPr>
        <w:t>4</w:t>
      </w:r>
      <w:r w:rsidR="00A320FD">
        <w:rPr>
          <w:vertAlign w:val="superscript"/>
        </w:rPr>
        <w:t>-2</w:t>
      </w:r>
      <w:r w:rsidR="00A320FD" w:rsidRPr="00A71B40">
        <w:rPr>
          <w:vertAlign w:val="superscript"/>
        </w:rPr>
        <w:t>6,</w:t>
      </w:r>
      <w:r w:rsidR="00A320FD">
        <w:rPr>
          <w:vertAlign w:val="superscript"/>
        </w:rPr>
        <w:t>31,33-36,39,40,57,</w:t>
      </w:r>
      <w:r w:rsidR="00A320FD" w:rsidRPr="00A320FD">
        <w:rPr>
          <w:vertAlign w:val="superscript"/>
        </w:rPr>
        <w:t>58</w:t>
      </w:r>
      <w:r w:rsidR="00A320FD">
        <w:t xml:space="preserve"> </w:t>
      </w:r>
      <w:r>
        <w:t>describing a total of 15 outbreaks, occurring in hospitals,</w:t>
      </w:r>
      <w:bookmarkStart w:id="7" w:name="_Hlk114208848"/>
      <w:r w:rsidR="00A320FD" w:rsidRPr="00A320FD">
        <w:rPr>
          <w:vertAlign w:val="superscript"/>
        </w:rPr>
        <w:t>20,2</w:t>
      </w:r>
      <w:r w:rsidRPr="00A71B40">
        <w:rPr>
          <w:vertAlign w:val="superscript"/>
        </w:rPr>
        <w:t>5,</w:t>
      </w:r>
      <w:r w:rsidR="00A320FD">
        <w:rPr>
          <w:vertAlign w:val="superscript"/>
        </w:rPr>
        <w:t>2</w:t>
      </w:r>
      <w:r w:rsidRPr="00A71B40">
        <w:rPr>
          <w:vertAlign w:val="superscript"/>
        </w:rPr>
        <w:t>6,</w:t>
      </w:r>
      <w:r w:rsidR="00A320FD">
        <w:rPr>
          <w:vertAlign w:val="superscript"/>
        </w:rPr>
        <w:t>1</w:t>
      </w:r>
      <w:r w:rsidRPr="00A71B40">
        <w:rPr>
          <w:vertAlign w:val="superscript"/>
        </w:rPr>
        <w:t>9,</w:t>
      </w:r>
      <w:r w:rsidR="00A320FD">
        <w:rPr>
          <w:vertAlign w:val="superscript"/>
        </w:rPr>
        <w:t xml:space="preserve">31,36 </w:t>
      </w:r>
      <w:bookmarkEnd w:id="7"/>
      <w:r>
        <w:t>nursing homes</w:t>
      </w:r>
      <w:bookmarkStart w:id="8" w:name="_Hlk114208863"/>
      <w:r w:rsidR="00A320FD" w:rsidRPr="00A320FD">
        <w:rPr>
          <w:vertAlign w:val="superscript"/>
        </w:rPr>
        <w:t>34,20,58</w:t>
      </w:r>
      <w:r>
        <w:t xml:space="preserve"> </w:t>
      </w:r>
      <w:bookmarkEnd w:id="8"/>
      <w:r>
        <w:t>or long term care facilitie</w:t>
      </w:r>
      <w:r w:rsidR="00E2003E">
        <w:t>s (LTCF)</w:t>
      </w:r>
      <w:r>
        <w:t>,</w:t>
      </w:r>
      <w:bookmarkStart w:id="9" w:name="_Hlk114208884"/>
      <w:r w:rsidR="00A320FD" w:rsidRPr="00A320FD">
        <w:rPr>
          <w:vertAlign w:val="superscript"/>
        </w:rPr>
        <w:t>2</w:t>
      </w:r>
      <w:r w:rsidRPr="00A71B40">
        <w:rPr>
          <w:vertAlign w:val="superscript"/>
        </w:rPr>
        <w:t>4,</w:t>
      </w:r>
      <w:r w:rsidR="00A320FD">
        <w:rPr>
          <w:vertAlign w:val="superscript"/>
        </w:rPr>
        <w:t xml:space="preserve">33,35,39,40,57    </w:t>
      </w:r>
      <w:bookmarkEnd w:id="9"/>
      <w:r>
        <w:t xml:space="preserve">which stated that the outbreak was reported to the local public health unit. Two </w:t>
      </w:r>
      <w:r>
        <w:lastRenderedPageBreak/>
        <w:t>of these studies</w:t>
      </w:r>
      <w:r w:rsidR="00A320FD" w:rsidRPr="00A320FD">
        <w:rPr>
          <w:vertAlign w:val="superscript"/>
        </w:rPr>
        <w:t>19,2</w:t>
      </w:r>
      <w:r w:rsidRPr="00A71B40">
        <w:rPr>
          <w:vertAlign w:val="superscript"/>
        </w:rPr>
        <w:t>6</w:t>
      </w:r>
      <w:r>
        <w:t xml:space="preserve"> mentioned that this was done in addition to reporting to their own hospital IPC team. These outbreaks affected between ten and 355 cases (median 74), lasting from eight days to over two months (median 22 days). None of the studies specifically mentioned that reporting to the local public health unit was beneficial for the outbreak management, however the unit was responsible for outbreak management in all except two studies. One of these studies</w:t>
      </w:r>
      <w:r w:rsidR="00A320FD">
        <w:rPr>
          <w:vertAlign w:val="superscript"/>
        </w:rPr>
        <w:t>26</w:t>
      </w:r>
      <w:r>
        <w:t xml:space="preserve"> mentioned that interventions were introduced as recommended by </w:t>
      </w:r>
      <w:r w:rsidR="006C356B">
        <w:t xml:space="preserve">the </w:t>
      </w:r>
      <w:r>
        <w:t>hospital IPC team, but that the outbreak continued</w:t>
      </w:r>
      <w:r w:rsidR="00FB43A3">
        <w:t>,</w:t>
      </w:r>
      <w:r>
        <w:t xml:space="preserve"> which prompted the hospital to report the outbreak to the local authorities. The other study</w:t>
      </w:r>
      <w:r w:rsidR="00A320FD">
        <w:rPr>
          <w:vertAlign w:val="superscript"/>
        </w:rPr>
        <w:t>19</w:t>
      </w:r>
      <w:r>
        <w:t xml:space="preserve"> reported that assistance from the local health authority was needed for the first outbreak</w:t>
      </w:r>
      <w:r w:rsidR="00FB43A3">
        <w:t>,</w:t>
      </w:r>
      <w:r>
        <w:t xml:space="preserve"> but during the second outbreak the recommendations from </w:t>
      </w:r>
      <w:r w:rsidR="00161B15">
        <w:t xml:space="preserve">the </w:t>
      </w:r>
      <w:r>
        <w:t xml:space="preserve">IPC nurse in hospital were sufficient. There was also one study which mentioned that the local public health unit erroneously classified </w:t>
      </w:r>
      <w:r w:rsidR="00161B15">
        <w:t>an</w:t>
      </w:r>
      <w:r>
        <w:t xml:space="preserve"> outbreak as a foodborne outbreak due to Salmonella which delayed </w:t>
      </w:r>
      <w:r w:rsidR="00161B15">
        <w:t>the</w:t>
      </w:r>
      <w:r>
        <w:t xml:space="preserve"> introduction of interventions necessary for controlling </w:t>
      </w:r>
      <w:r w:rsidR="00161B15">
        <w:t>a</w:t>
      </w:r>
      <w:r>
        <w:t xml:space="preserve"> norovirus outbreak and resulted in </w:t>
      </w:r>
      <w:r w:rsidR="00161B15">
        <w:t>the</w:t>
      </w:r>
      <w:r>
        <w:t xml:space="preserve"> outbreak spreading into the local hospital. The authors reported that norovirus was recognised by the local authorities only when laboratory results became available, which was one day after the nurse in the nursing home realised that the outbreak fit Kaplan criteria for viral aetiology and introduced appropriate control measures.</w:t>
      </w:r>
      <w:r w:rsidR="000E41A6">
        <w:t xml:space="preserve"> </w:t>
      </w:r>
      <w:r>
        <w:t>Following the introduction of the interventions, the outbreaks lasted from three to 59 days (median 14 days based on</w:t>
      </w:r>
      <w:r w:rsidR="001128A6">
        <w:t xml:space="preserve"> twelve </w:t>
      </w:r>
      <w:r>
        <w:t>studies</w:t>
      </w:r>
      <w:r w:rsidR="00A320FD">
        <w:rPr>
          <w:vertAlign w:val="superscript"/>
        </w:rPr>
        <w:t>19,20,2</w:t>
      </w:r>
      <w:r>
        <w:rPr>
          <w:vertAlign w:val="superscript"/>
        </w:rPr>
        <w:t>4,</w:t>
      </w:r>
      <w:r w:rsidR="00A320FD">
        <w:rPr>
          <w:vertAlign w:val="superscript"/>
        </w:rPr>
        <w:t>2</w:t>
      </w:r>
      <w:r>
        <w:rPr>
          <w:vertAlign w:val="superscript"/>
        </w:rPr>
        <w:t>5,</w:t>
      </w:r>
      <w:r w:rsidR="00A320FD">
        <w:rPr>
          <w:vertAlign w:val="superscript"/>
        </w:rPr>
        <w:t>33-36,39,57,58</w:t>
      </w:r>
      <w:r>
        <w:t xml:space="preserve"> reporting 13 outbreaks) and affected </w:t>
      </w:r>
      <w:r w:rsidR="00FB43A3">
        <w:t xml:space="preserve">a </w:t>
      </w:r>
      <w:r>
        <w:t>further four to 98 cases (median 29 based on eleven studies</w:t>
      </w:r>
      <w:r w:rsidR="00A320FD">
        <w:rPr>
          <w:vertAlign w:val="superscript"/>
        </w:rPr>
        <w:t>19,20,2</w:t>
      </w:r>
      <w:r>
        <w:rPr>
          <w:vertAlign w:val="superscript"/>
        </w:rPr>
        <w:t>5,</w:t>
      </w:r>
      <w:r w:rsidR="00A320FD">
        <w:rPr>
          <w:vertAlign w:val="superscript"/>
        </w:rPr>
        <w:t>33-36,39,57,58</w:t>
      </w:r>
      <w:r>
        <w:t xml:space="preserve"> reporting</w:t>
      </w:r>
      <w:r w:rsidR="001128A6">
        <w:t xml:space="preserve"> twelve </w:t>
      </w:r>
      <w:r>
        <w:t>outbreaks). In addition to reporting to the local health authority, one study</w:t>
      </w:r>
      <w:r w:rsidR="00A320FD">
        <w:rPr>
          <w:vertAlign w:val="superscript"/>
        </w:rPr>
        <w:t>34</w:t>
      </w:r>
      <w:r>
        <w:t xml:space="preserve"> mentioned that they reported an outbreak, which occurred in a nursing home</w:t>
      </w:r>
      <w:r w:rsidR="00161B15">
        <w:t>,</w:t>
      </w:r>
      <w:r>
        <w:t xml:space="preserve"> to the emergency department in a local hospital to prevent the transmission in the new setting. The authors reported that only one staff member became ill as a result of this communication. One study</w:t>
      </w:r>
      <w:r>
        <w:rPr>
          <w:vertAlign w:val="superscript"/>
        </w:rPr>
        <w:t>2</w:t>
      </w:r>
      <w:r w:rsidR="00A320FD">
        <w:rPr>
          <w:vertAlign w:val="superscript"/>
        </w:rPr>
        <w:t>0</w:t>
      </w:r>
      <w:r>
        <w:t xml:space="preserve"> also mentioned that the above-mentioned outbreak, which was mistaken for Salmonella, was reported to the national department of health. This, however, was to report an incident and not to seek advice in order to prevent further cases. None of these studies reported cost or patient/staff experience.</w:t>
      </w:r>
    </w:p>
    <w:p w14:paraId="1FF356FE" w14:textId="669D03A4" w:rsidR="00EC7A69" w:rsidRDefault="00EC7A69" w:rsidP="00CF7116">
      <w:pPr>
        <w:spacing w:before="240" w:line="276" w:lineRule="auto"/>
      </w:pPr>
      <w:r w:rsidRPr="0095272F">
        <w:t xml:space="preserve">There was </w:t>
      </w:r>
      <w:r w:rsidR="00FB43A3">
        <w:t>weak</w:t>
      </w:r>
      <w:r w:rsidR="00FB43A3" w:rsidRPr="00FB43A3">
        <w:t xml:space="preserve"> evidence</w:t>
      </w:r>
      <w:r w:rsidR="00FB43A3">
        <w:t xml:space="preserve"> </w:t>
      </w:r>
      <w:r>
        <w:t>from eight studies</w:t>
      </w:r>
      <w:r w:rsidR="00A320FD">
        <w:rPr>
          <w:vertAlign w:val="superscript"/>
        </w:rPr>
        <w:t>41-47,59</w:t>
      </w:r>
      <w:r>
        <w:rPr>
          <w:vertAlign w:val="superscript"/>
        </w:rPr>
        <w:t xml:space="preserve"> </w:t>
      </w:r>
      <w:r>
        <w:t>describing outbreak</w:t>
      </w:r>
      <w:r w:rsidR="00161B15">
        <w:t>s</w:t>
      </w:r>
      <w:r>
        <w:t xml:space="preserve"> occurring outside healthcare settings which were reported to </w:t>
      </w:r>
      <w:r w:rsidR="00FB43A3">
        <w:t xml:space="preserve">the </w:t>
      </w:r>
      <w:r>
        <w:t>local public health unit. These outbreaks affected between 15 to 427 cases (median 137) and lasted from five to 22 days (median 14 days, based on six studies</w:t>
      </w:r>
      <w:r w:rsidR="00A320FD">
        <w:rPr>
          <w:vertAlign w:val="superscript"/>
        </w:rPr>
        <w:t>41,43-47</w:t>
      </w:r>
      <w:r>
        <w:t>). Only one study, which occurred on a cruise ship,</w:t>
      </w:r>
      <w:r w:rsidR="00A320FD">
        <w:rPr>
          <w:vertAlign w:val="superscript"/>
        </w:rPr>
        <w:t>45</w:t>
      </w:r>
      <w:r>
        <w:t xml:space="preserve"> specifically stated that reporting to and co-operation with the local health authorities was beneficial in controlling an outbreak, although in the other seven outbreaks the local authorities were responsible for investigations and introducing outbreak control measures. Following the implementation of recommended interventions, the studies reported that </w:t>
      </w:r>
      <w:r w:rsidR="00FB43A3">
        <w:t xml:space="preserve">a </w:t>
      </w:r>
      <w:r>
        <w:t xml:space="preserve">further </w:t>
      </w:r>
      <w:r w:rsidR="00FB43A3">
        <w:t>three</w:t>
      </w:r>
      <w:r>
        <w:t xml:space="preserve"> to 137 cases were affected (median 28 based on four studies</w:t>
      </w:r>
      <w:r w:rsidRPr="00A71B40">
        <w:rPr>
          <w:vertAlign w:val="superscript"/>
        </w:rPr>
        <w:t xml:space="preserve"> </w:t>
      </w:r>
      <w:r w:rsidR="00A320FD">
        <w:rPr>
          <w:vertAlign w:val="superscript"/>
        </w:rPr>
        <w:t>41,43-45</w:t>
      </w:r>
      <w:r>
        <w:t xml:space="preserve">), lasting </w:t>
      </w:r>
      <w:r w:rsidR="00FB43A3">
        <w:t xml:space="preserve">a </w:t>
      </w:r>
      <w:r>
        <w:t>further one to 15 days (median seven days, based on five studies</w:t>
      </w:r>
      <w:r w:rsidR="00A320FD">
        <w:rPr>
          <w:vertAlign w:val="superscript"/>
        </w:rPr>
        <w:t>41,43-46</w:t>
      </w:r>
      <w:r>
        <w:t>). None of these studies reported cost or patient/staff experience.</w:t>
      </w:r>
    </w:p>
    <w:p w14:paraId="555D1AA0" w14:textId="12E6AE54" w:rsidR="00EC7A69" w:rsidRDefault="00EC7A69" w:rsidP="00CF7116">
      <w:pPr>
        <w:spacing w:before="240" w:line="276" w:lineRule="auto"/>
      </w:pPr>
      <w:r w:rsidRPr="0095272F">
        <w:t xml:space="preserve">There was </w:t>
      </w:r>
      <w:r w:rsidR="00FB43A3">
        <w:t>very weak</w:t>
      </w:r>
      <w:r w:rsidR="00FB43A3" w:rsidRPr="00FB43A3">
        <w:t xml:space="preserve"> evidence</w:t>
      </w:r>
      <w:r w:rsidR="00FB43A3">
        <w:t xml:space="preserve"> </w:t>
      </w:r>
      <w:r>
        <w:t>from one study</w:t>
      </w:r>
      <w:r w:rsidR="00A320FD">
        <w:rPr>
          <w:vertAlign w:val="superscript"/>
        </w:rPr>
        <w:t>48</w:t>
      </w:r>
      <w:r w:rsidRPr="00A320FD">
        <w:t xml:space="preserve"> </w:t>
      </w:r>
      <w:r>
        <w:t xml:space="preserve">describing </w:t>
      </w:r>
      <w:r w:rsidR="00FB43A3">
        <w:t xml:space="preserve">an outbreak </w:t>
      </w:r>
      <w:r>
        <w:t xml:space="preserve">occurring outside </w:t>
      </w:r>
      <w:r w:rsidR="00FB43A3">
        <w:t>the</w:t>
      </w:r>
      <w:r>
        <w:t xml:space="preserve"> healthcare setting (military base) which was reported to </w:t>
      </w:r>
      <w:r w:rsidR="00161B15">
        <w:t xml:space="preserve">the </w:t>
      </w:r>
      <w:r>
        <w:t>organisation</w:t>
      </w:r>
      <w:r w:rsidR="00FB43A3">
        <w:t>’</w:t>
      </w:r>
      <w:r>
        <w:t>s outbreak investigation team. This outbreak was reported to affect 156 cases, lasting 17 days. The authors did not specifically mention that the involvement of the outbreak investigation team was beneficial</w:t>
      </w:r>
      <w:r w:rsidR="00FB43A3">
        <w:t>,</w:t>
      </w:r>
      <w:r>
        <w:t xml:space="preserve"> but the team was responsible for investigating the source of an outbreak and introducing the interventions. It was reported that following an introduction of control measures, </w:t>
      </w:r>
      <w:r w:rsidR="00161B15">
        <w:t>the</w:t>
      </w:r>
      <w:r>
        <w:t xml:space="preserve"> outbreak lasted for </w:t>
      </w:r>
      <w:r w:rsidR="00FB43A3">
        <w:t xml:space="preserve">a </w:t>
      </w:r>
      <w:r>
        <w:t>further</w:t>
      </w:r>
      <w:r w:rsidR="001128A6">
        <w:t xml:space="preserve"> twelve </w:t>
      </w:r>
      <w:r>
        <w:t xml:space="preserve">days but that the incidence of infection decreased with </w:t>
      </w:r>
      <w:r w:rsidR="00FB43A3">
        <w:t xml:space="preserve">a </w:t>
      </w:r>
      <w:r>
        <w:t xml:space="preserve">further 68 cases affected. The study did not report the cost or patient/staff experience. </w:t>
      </w:r>
    </w:p>
    <w:p w14:paraId="7FB68404" w14:textId="54B868DB" w:rsidR="00814BD3" w:rsidRDefault="00814BD3" w:rsidP="00CF7116">
      <w:pPr>
        <w:spacing w:before="240" w:line="276" w:lineRule="auto"/>
        <w:rPr>
          <w:i/>
          <w:iCs/>
        </w:rPr>
      </w:pPr>
      <w:r>
        <w:rPr>
          <w:i/>
          <w:iCs/>
        </w:rPr>
        <w:lastRenderedPageBreak/>
        <w:t xml:space="preserve">Upon reviewing the above evidence, the Working Party concluded that prompt communication to the IPC team may be beneficial for the facility in controlling an outbreak. However, current literature did not address other means of communication which could prevent norovirus to be spread to other facilities. </w:t>
      </w:r>
      <w:r w:rsidR="00FB43A3" w:rsidRPr="00FB43A3">
        <w:rPr>
          <w:i/>
          <w:iCs/>
        </w:rPr>
        <w:t xml:space="preserve">The </w:t>
      </w:r>
      <w:r>
        <w:rPr>
          <w:i/>
          <w:iCs/>
        </w:rPr>
        <w:t xml:space="preserve">Working Party concluded that there is a </w:t>
      </w:r>
      <w:r w:rsidR="00FB43A3" w:rsidRPr="00FB43A3">
        <w:rPr>
          <w:i/>
          <w:iCs/>
        </w:rPr>
        <w:t xml:space="preserve">need </w:t>
      </w:r>
      <w:r>
        <w:rPr>
          <w:i/>
          <w:iCs/>
        </w:rPr>
        <w:t xml:space="preserve">for all facilities </w:t>
      </w:r>
      <w:r w:rsidR="00FB43A3" w:rsidRPr="00FB43A3">
        <w:rPr>
          <w:i/>
          <w:iCs/>
        </w:rPr>
        <w:t xml:space="preserve">to communicate </w:t>
      </w:r>
      <w:r>
        <w:rPr>
          <w:i/>
          <w:iCs/>
        </w:rPr>
        <w:t>the</w:t>
      </w:r>
      <w:r w:rsidR="00FB43A3" w:rsidRPr="00FB43A3">
        <w:rPr>
          <w:i/>
          <w:iCs/>
        </w:rPr>
        <w:t xml:space="preserve"> outbreaks in the local area</w:t>
      </w:r>
      <w:r>
        <w:rPr>
          <w:i/>
          <w:iCs/>
        </w:rPr>
        <w:t>. Prompt communication</w:t>
      </w:r>
      <w:r w:rsidR="00FB43A3" w:rsidRPr="00FB43A3">
        <w:rPr>
          <w:i/>
          <w:iCs/>
        </w:rPr>
        <w:t xml:space="preserve"> between community and acute settings </w:t>
      </w:r>
      <w:r>
        <w:rPr>
          <w:i/>
          <w:iCs/>
        </w:rPr>
        <w:t xml:space="preserve">may prevent outbreaks </w:t>
      </w:r>
      <w:r w:rsidR="00161B15">
        <w:rPr>
          <w:i/>
          <w:iCs/>
        </w:rPr>
        <w:t xml:space="preserve">from </w:t>
      </w:r>
      <w:r>
        <w:rPr>
          <w:i/>
          <w:iCs/>
        </w:rPr>
        <w:t xml:space="preserve">occurring in other institutions. Any suspected or confirmed norovirus cases, even if sporadic, need to be communicated </w:t>
      </w:r>
      <w:r w:rsidR="00161B15">
        <w:rPr>
          <w:i/>
          <w:iCs/>
        </w:rPr>
        <w:t>to</w:t>
      </w:r>
      <w:r>
        <w:rPr>
          <w:i/>
          <w:iCs/>
        </w:rPr>
        <w:t xml:space="preserve"> local A&amp;E departments and/or assessment units so that appropriate action can be taken before these persons are admitted for treatment. </w:t>
      </w:r>
    </w:p>
    <w:p w14:paraId="17B70054" w14:textId="77777777" w:rsidR="00EC7A69" w:rsidRPr="00814BD3" w:rsidRDefault="00EC7A69" w:rsidP="00CF7116">
      <w:pPr>
        <w:spacing w:line="276" w:lineRule="auto"/>
        <w:rPr>
          <w:b/>
          <w:bCs/>
        </w:rPr>
      </w:pPr>
      <w:r w:rsidRPr="00814BD3">
        <w:rPr>
          <w:b/>
          <w:bCs/>
        </w:rPr>
        <w:t>Recommendations:</w:t>
      </w:r>
    </w:p>
    <w:p w14:paraId="629447BE" w14:textId="502A8FB6" w:rsidR="00EC7A69" w:rsidRPr="009E6247" w:rsidRDefault="00814BD3" w:rsidP="00CF7116">
      <w:pPr>
        <w:spacing w:before="240" w:line="276" w:lineRule="auto"/>
      </w:pPr>
      <w:r w:rsidRPr="00814BD3">
        <w:rPr>
          <w:b/>
          <w:bCs/>
        </w:rPr>
        <w:t>5.1:</w:t>
      </w:r>
      <w:r>
        <w:t xml:space="preserve"> C</w:t>
      </w:r>
      <w:r w:rsidR="00FB43A3" w:rsidRPr="00FB43A3">
        <w:t>ommunicat</w:t>
      </w:r>
      <w:r>
        <w:t xml:space="preserve">e </w:t>
      </w:r>
      <w:r w:rsidR="00161B15">
        <w:t>with</w:t>
      </w:r>
      <w:r w:rsidR="00FB43A3" w:rsidRPr="00FB43A3">
        <w:t xml:space="preserve"> the IPC team as soon as an outbreak of </w:t>
      </w:r>
      <w:r>
        <w:t>norovirus</w:t>
      </w:r>
      <w:r w:rsidR="00FB43A3" w:rsidRPr="00FB43A3">
        <w:t xml:space="preserve"> infection is suspected or confirmed</w:t>
      </w:r>
      <w:r>
        <w:t xml:space="preserve">. </w:t>
      </w:r>
    </w:p>
    <w:p w14:paraId="6D912AD3" w14:textId="77777777" w:rsidR="00EC7A69" w:rsidRPr="00814BD3" w:rsidRDefault="00EC7A69" w:rsidP="00CF7116">
      <w:pPr>
        <w:spacing w:line="276" w:lineRule="auto"/>
        <w:rPr>
          <w:b/>
          <w:bCs/>
        </w:rPr>
      </w:pPr>
      <w:r w:rsidRPr="00814BD3">
        <w:rPr>
          <w:b/>
          <w:bCs/>
        </w:rPr>
        <w:t>Good practice points:</w:t>
      </w:r>
    </w:p>
    <w:p w14:paraId="3797A2DC" w14:textId="15AC10D4" w:rsidR="00FB43A3" w:rsidRDefault="00FB43A3" w:rsidP="00CF7116">
      <w:pPr>
        <w:spacing w:before="240" w:line="276" w:lineRule="auto"/>
      </w:pPr>
      <w:r w:rsidRPr="00814BD3">
        <w:rPr>
          <w:b/>
          <w:bCs/>
        </w:rPr>
        <w:t>GPP</w:t>
      </w:r>
      <w:r w:rsidR="00953810">
        <w:rPr>
          <w:b/>
          <w:bCs/>
        </w:rPr>
        <w:t xml:space="preserve"> </w:t>
      </w:r>
      <w:r w:rsidR="00814BD3" w:rsidRPr="00814BD3">
        <w:rPr>
          <w:b/>
          <w:bCs/>
        </w:rPr>
        <w:t>5.1</w:t>
      </w:r>
      <w:r w:rsidRPr="00814BD3">
        <w:rPr>
          <w:b/>
          <w:bCs/>
        </w:rPr>
        <w:t>:</w:t>
      </w:r>
      <w:r>
        <w:t xml:space="preserve"> </w:t>
      </w:r>
      <w:r w:rsidR="00814BD3">
        <w:t>Seek support from the local</w:t>
      </w:r>
      <w:r>
        <w:t xml:space="preserve"> IPC team about </w:t>
      </w:r>
      <w:r w:rsidR="001E7CDB">
        <w:t xml:space="preserve">the management of </w:t>
      </w:r>
      <w:r>
        <w:t xml:space="preserve">sporadic (suspected and confirmed) </w:t>
      </w:r>
      <w:r w:rsidR="00814BD3">
        <w:t>norovirus</w:t>
      </w:r>
      <w:r>
        <w:t xml:space="preserve"> cases</w:t>
      </w:r>
      <w:r w:rsidR="00814BD3">
        <w:t xml:space="preserve">. </w:t>
      </w:r>
    </w:p>
    <w:p w14:paraId="7524C295" w14:textId="050E638B" w:rsidR="00EC7A69" w:rsidRPr="009E6247" w:rsidRDefault="00FB43A3" w:rsidP="00CF7116">
      <w:pPr>
        <w:spacing w:before="240" w:line="276" w:lineRule="auto"/>
      </w:pPr>
      <w:r w:rsidRPr="00814BD3">
        <w:rPr>
          <w:b/>
          <w:bCs/>
        </w:rPr>
        <w:t>GPP</w:t>
      </w:r>
      <w:r w:rsidR="00953810">
        <w:rPr>
          <w:b/>
          <w:bCs/>
        </w:rPr>
        <w:t xml:space="preserve"> </w:t>
      </w:r>
      <w:r w:rsidR="00814BD3" w:rsidRPr="00814BD3">
        <w:rPr>
          <w:b/>
          <w:bCs/>
        </w:rPr>
        <w:t>5.2</w:t>
      </w:r>
      <w:r w:rsidRPr="00814BD3">
        <w:rPr>
          <w:b/>
          <w:bCs/>
        </w:rPr>
        <w:t>:</w:t>
      </w:r>
      <w:r>
        <w:t xml:space="preserve"> </w:t>
      </w:r>
      <w:r w:rsidR="00814BD3">
        <w:t xml:space="preserve">Inform all local facilities of any </w:t>
      </w:r>
      <w:r>
        <w:t xml:space="preserve">outbreaks </w:t>
      </w:r>
      <w:r w:rsidR="00814BD3">
        <w:t xml:space="preserve">occurring in </w:t>
      </w:r>
      <w:r w:rsidR="001E7CDB">
        <w:t>your</w:t>
      </w:r>
      <w:r w:rsidR="00814BD3">
        <w:t xml:space="preserve"> area, i.e. if</w:t>
      </w:r>
      <w:r>
        <w:t xml:space="preserve"> they occur in the community and vice versa</w:t>
      </w:r>
      <w:r w:rsidR="001E7CDB">
        <w:t xml:space="preserve">. </w:t>
      </w:r>
    </w:p>
    <w:p w14:paraId="71479537" w14:textId="77777777" w:rsidR="00EC7A69" w:rsidRDefault="00EC7A69" w:rsidP="00CF7116">
      <w:pPr>
        <w:spacing w:before="240" w:line="276" w:lineRule="auto"/>
      </w:pPr>
    </w:p>
    <w:p w14:paraId="7F1DF480" w14:textId="30FB2FE9" w:rsidR="00E758C0" w:rsidRDefault="00E758C0" w:rsidP="00CF7116">
      <w:pPr>
        <w:pStyle w:val="Heading2"/>
        <w:spacing w:before="240" w:after="160" w:line="276" w:lineRule="auto"/>
      </w:pPr>
      <w:r>
        <w:t>8.6</w:t>
      </w:r>
      <w:r w:rsidRPr="00E758C0">
        <w:tab/>
        <w:t xml:space="preserve">What is the clinical and cost-effectiveness of </w:t>
      </w:r>
      <w:r w:rsidR="009A031D">
        <w:t>testing</w:t>
      </w:r>
      <w:r w:rsidRPr="00E758C0">
        <w:t xml:space="preserve"> all patients with vomiting and/or diarrhoea at admission?</w:t>
      </w:r>
    </w:p>
    <w:p w14:paraId="37881372" w14:textId="0C2D6449" w:rsidR="00E758C0" w:rsidRDefault="009A031D" w:rsidP="00CF7116">
      <w:pPr>
        <w:spacing w:before="240" w:line="276" w:lineRule="auto"/>
      </w:pPr>
      <w:r>
        <w:t>A</w:t>
      </w:r>
      <w:r w:rsidR="00E758C0">
        <w:t xml:space="preserve">dmission </w:t>
      </w:r>
      <w:r w:rsidR="00962F76">
        <w:t>test</w:t>
      </w:r>
      <w:r w:rsidR="00E758C0">
        <w:t xml:space="preserve">ing of all patients with symptoms of diarrhoea </w:t>
      </w:r>
      <w:r>
        <w:t>or diarrhoea could be beneficial</w:t>
      </w:r>
      <w:r w:rsidR="00E758C0">
        <w:t xml:space="preserve">, as this would assist in the detection of </w:t>
      </w:r>
      <w:r>
        <w:t>norovirus</w:t>
      </w:r>
      <w:r w:rsidR="00E758C0">
        <w:t xml:space="preserve"> or other diagnosis. Early detection </w:t>
      </w:r>
      <w:r>
        <w:t>of norovirus would trigger</w:t>
      </w:r>
      <w:r w:rsidR="00E758C0">
        <w:t xml:space="preserve"> early commencement of treatment for the patient</w:t>
      </w:r>
      <w:r>
        <w:t xml:space="preserve"> and could</w:t>
      </w:r>
      <w:r w:rsidR="00E758C0">
        <w:t xml:space="preserve"> also prevent the spread of </w:t>
      </w:r>
      <w:r>
        <w:t xml:space="preserve">the </w:t>
      </w:r>
      <w:r w:rsidR="00E758C0">
        <w:t>virus by supporting the decision to isolate known</w:t>
      </w:r>
      <w:r>
        <w:t xml:space="preserve"> or </w:t>
      </w:r>
      <w:r w:rsidR="00E758C0">
        <w:t>suspected cases.</w:t>
      </w:r>
      <w:r>
        <w:t xml:space="preserve"> As a result, </w:t>
      </w:r>
      <w:r w:rsidR="00962F76">
        <w:t>test</w:t>
      </w:r>
      <w:r w:rsidR="00E758C0">
        <w:t xml:space="preserve">ing on admission </w:t>
      </w:r>
      <w:r>
        <w:t>could potentially</w:t>
      </w:r>
      <w:r w:rsidR="00E758C0">
        <w:t xml:space="preserve"> reduce the economic burden </w:t>
      </w:r>
      <w:r>
        <w:t xml:space="preserve">by preventing </w:t>
      </w:r>
      <w:r w:rsidR="00E758C0">
        <w:t>outbreaks</w:t>
      </w:r>
      <w:r>
        <w:t>. Previous UK guidelines</w:t>
      </w:r>
      <w:r w:rsidR="00AC0F9C" w:rsidRPr="00AC0F9C">
        <w:rPr>
          <w:vertAlign w:val="superscript"/>
        </w:rPr>
        <w:t>1</w:t>
      </w:r>
      <w:r>
        <w:t xml:space="preserve"> recommended t</w:t>
      </w:r>
      <w:r w:rsidRPr="009A031D">
        <w:t>esting of patients admitted with diarrhoea and/or vomiting where alternative, non-infectious causes cannot be confidently diagnosed.</w:t>
      </w:r>
      <w:r>
        <w:t xml:space="preserve"> However, it is currently not known whether this approach is clinically and cost effective for the institutions and whether any benefits in terms of severity or duration of the illness are observed for the individuals. </w:t>
      </w:r>
    </w:p>
    <w:p w14:paraId="303BF79D" w14:textId="77777777" w:rsidR="001663F7" w:rsidRDefault="001663F7" w:rsidP="00CF7116">
      <w:pPr>
        <w:pStyle w:val="Heading3"/>
        <w:spacing w:line="276" w:lineRule="auto"/>
      </w:pPr>
      <w:r>
        <w:t>Outbreak situations</w:t>
      </w:r>
    </w:p>
    <w:p w14:paraId="07971390" w14:textId="6A364006" w:rsidR="001663F7" w:rsidRDefault="001663F7" w:rsidP="00CF7116">
      <w:pPr>
        <w:spacing w:before="240" w:line="276" w:lineRule="auto"/>
      </w:pPr>
      <w:r w:rsidRPr="0095272F">
        <w:t xml:space="preserve">There was </w:t>
      </w:r>
      <w:r w:rsidRPr="009A031D">
        <w:t>very weak</w:t>
      </w:r>
      <w:r w:rsidRPr="00B15BBD">
        <w:t xml:space="preserve"> evidence</w:t>
      </w:r>
      <w:r>
        <w:t xml:space="preserve"> from one outbreak study</w:t>
      </w:r>
      <w:r w:rsidRPr="005861E6">
        <w:rPr>
          <w:vertAlign w:val="superscript"/>
        </w:rPr>
        <w:t>1</w:t>
      </w:r>
      <w:r w:rsidR="001F3854">
        <w:rPr>
          <w:vertAlign w:val="superscript"/>
        </w:rPr>
        <w:t>4</w:t>
      </w:r>
      <w:r>
        <w:t xml:space="preserve"> which reported </w:t>
      </w:r>
      <w:r w:rsidR="00962F76">
        <w:t>test</w:t>
      </w:r>
      <w:r>
        <w:t>ing all symptomatic patients for norovirus before they were admitted to a ward. This was a</w:t>
      </w:r>
      <w:r w:rsidRPr="005861E6">
        <w:t xml:space="preserve"> prolonged outbreak which </w:t>
      </w:r>
      <w:r>
        <w:t xml:space="preserve">lasted 54 days and affected 173 patients and staff on </w:t>
      </w:r>
      <w:r w:rsidRPr="005861E6">
        <w:t xml:space="preserve">multiple wards in the hospital. </w:t>
      </w:r>
      <w:r>
        <w:t>The a</w:t>
      </w:r>
      <w:r w:rsidRPr="005861E6">
        <w:t>uthors attributed the prolonged duration to a few factors</w:t>
      </w:r>
      <w:r>
        <w:t>, including</w:t>
      </w:r>
      <w:r w:rsidRPr="005861E6">
        <w:t xml:space="preserve"> Nightingale style wards</w:t>
      </w:r>
      <w:r w:rsidR="009A031D">
        <w:t xml:space="preserve"> and</w:t>
      </w:r>
      <w:r w:rsidRPr="005861E6">
        <w:t xml:space="preserve"> high transmissibility of the Sydney 2012 strain which caused</w:t>
      </w:r>
      <w:r w:rsidR="001128A6">
        <w:t xml:space="preserve"> ten </w:t>
      </w:r>
      <w:r w:rsidRPr="005861E6">
        <w:t xml:space="preserve">known relapses and the ongoing epidemic in the community. No </w:t>
      </w:r>
      <w:r>
        <w:t xml:space="preserve">clinical </w:t>
      </w:r>
      <w:r w:rsidRPr="005861E6">
        <w:t>outcomes we</w:t>
      </w:r>
      <w:r w:rsidR="009A031D">
        <w:t>re</w:t>
      </w:r>
      <w:r w:rsidRPr="005861E6">
        <w:t xml:space="preserve"> reported in terms of </w:t>
      </w:r>
      <w:r>
        <w:t xml:space="preserve">clinical </w:t>
      </w:r>
      <w:r w:rsidRPr="005861E6">
        <w:t xml:space="preserve">benefit of </w:t>
      </w:r>
      <w:r w:rsidR="00962F76">
        <w:t>test</w:t>
      </w:r>
      <w:r w:rsidRPr="005861E6">
        <w:t xml:space="preserve">ing at admission, but </w:t>
      </w:r>
      <w:r>
        <w:t xml:space="preserve">the authors reported that </w:t>
      </w:r>
      <w:r w:rsidRPr="005861E6">
        <w:t>approx</w:t>
      </w:r>
      <w:r>
        <w:t>imately</w:t>
      </w:r>
      <w:r w:rsidRPr="005861E6">
        <w:t xml:space="preserve"> 25-30% </w:t>
      </w:r>
      <w:r>
        <w:t>of all norovirus</w:t>
      </w:r>
      <w:r w:rsidRPr="005861E6">
        <w:t xml:space="preserve"> cases were from </w:t>
      </w:r>
      <w:r w:rsidRPr="005861E6">
        <w:lastRenderedPageBreak/>
        <w:t xml:space="preserve">the community and </w:t>
      </w:r>
      <w:r>
        <w:t xml:space="preserve">that </w:t>
      </w:r>
      <w:r w:rsidR="00962F76">
        <w:t>test</w:t>
      </w:r>
      <w:r>
        <w:t>ing at admission</w:t>
      </w:r>
      <w:r w:rsidRPr="005861E6">
        <w:t xml:space="preserve"> was one of the interventions </w:t>
      </w:r>
      <w:r>
        <w:t xml:space="preserve">which worked well and helped the staff </w:t>
      </w:r>
      <w:r w:rsidR="009A031D">
        <w:t xml:space="preserve">to </w:t>
      </w:r>
      <w:r>
        <w:t>identify and isolate/cohort infected patients</w:t>
      </w:r>
      <w:r w:rsidRPr="005861E6">
        <w:t>.</w:t>
      </w:r>
    </w:p>
    <w:p w14:paraId="36A5E5E3" w14:textId="7A7F4FBE" w:rsidR="001663F7" w:rsidRDefault="001663F7"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cost effectiveness of </w:t>
      </w:r>
      <w:r w:rsidR="00962F76">
        <w:rPr>
          <w:rFonts w:cstheme="minorHAnsi"/>
        </w:rPr>
        <w:t>test</w:t>
      </w:r>
      <w:r>
        <w:rPr>
          <w:rFonts w:cstheme="minorHAnsi"/>
        </w:rPr>
        <w:t>ing all patients with vomiting and/or diarrhoea at admission.</w:t>
      </w:r>
    </w:p>
    <w:p w14:paraId="15710079" w14:textId="77777777" w:rsidR="001663F7" w:rsidRDefault="001663F7" w:rsidP="00CF7116">
      <w:pPr>
        <w:pStyle w:val="Heading3"/>
        <w:spacing w:line="276" w:lineRule="auto"/>
      </w:pPr>
      <w:r>
        <w:t>Non-outbreak situations</w:t>
      </w:r>
    </w:p>
    <w:p w14:paraId="2B2BCE9E" w14:textId="3A792071" w:rsidR="001663F7" w:rsidRDefault="001663F7"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or cost effectiveness of </w:t>
      </w:r>
      <w:r w:rsidR="00962F76">
        <w:rPr>
          <w:rFonts w:cstheme="minorHAnsi"/>
        </w:rPr>
        <w:t>test</w:t>
      </w:r>
      <w:r>
        <w:rPr>
          <w:rFonts w:cstheme="minorHAnsi"/>
        </w:rPr>
        <w:t xml:space="preserve">ing all patients with vomiting and/or diarrhoea at admission to prevent norovirus outbreaks. </w:t>
      </w:r>
    </w:p>
    <w:p w14:paraId="4AA240C4" w14:textId="583085CE" w:rsidR="001663F7" w:rsidRDefault="001663F7" w:rsidP="00CF7116">
      <w:pPr>
        <w:spacing w:before="240" w:line="276" w:lineRule="auto"/>
        <w:rPr>
          <w:rFonts w:cstheme="minorHAnsi"/>
        </w:rPr>
      </w:pPr>
      <w:r>
        <w:rPr>
          <w:rFonts w:cstheme="minorHAnsi"/>
        </w:rPr>
        <w:t>There was additional evidence from two excluded studies.</w:t>
      </w:r>
      <w:r w:rsidR="001F3854">
        <w:rPr>
          <w:rFonts w:cstheme="minorHAnsi"/>
          <w:vertAlign w:val="superscript"/>
        </w:rPr>
        <w:t>60,61</w:t>
      </w:r>
      <w:r w:rsidRPr="00950F38">
        <w:rPr>
          <w:rFonts w:cstheme="minorHAnsi"/>
        </w:rPr>
        <w:t xml:space="preserve"> The</w:t>
      </w:r>
      <w:r>
        <w:rPr>
          <w:rFonts w:cstheme="minorHAnsi"/>
        </w:rPr>
        <w:t xml:space="preserve"> first</w:t>
      </w:r>
      <w:r w:rsidR="001F3854">
        <w:rPr>
          <w:rFonts w:cstheme="minorHAnsi"/>
          <w:vertAlign w:val="superscript"/>
        </w:rPr>
        <w:t>60</w:t>
      </w:r>
      <w:r>
        <w:rPr>
          <w:rFonts w:cstheme="minorHAnsi"/>
        </w:rPr>
        <w:t xml:space="preserve"> was an </w:t>
      </w:r>
      <w:r w:rsidR="00E2003E">
        <w:rPr>
          <w:rFonts w:cstheme="minorHAnsi"/>
        </w:rPr>
        <w:t>UBA</w:t>
      </w:r>
      <w:r>
        <w:rPr>
          <w:rFonts w:cstheme="minorHAnsi"/>
        </w:rPr>
        <w:t xml:space="preserve"> study conducted in a hospital which</w:t>
      </w:r>
      <w:r w:rsidRPr="00950F38">
        <w:rPr>
          <w:rFonts w:cstheme="minorHAnsi"/>
        </w:rPr>
        <w:t xml:space="preserve"> introduced routine </w:t>
      </w:r>
      <w:r>
        <w:rPr>
          <w:rFonts w:cstheme="minorHAnsi"/>
        </w:rPr>
        <w:t>norovirus</w:t>
      </w:r>
      <w:r w:rsidRPr="00950F38">
        <w:rPr>
          <w:rFonts w:cstheme="minorHAnsi"/>
        </w:rPr>
        <w:t xml:space="preserve"> </w:t>
      </w:r>
      <w:r w:rsidR="00962F76">
        <w:rPr>
          <w:rFonts w:cstheme="minorHAnsi"/>
        </w:rPr>
        <w:t>test</w:t>
      </w:r>
      <w:r w:rsidRPr="00950F38">
        <w:rPr>
          <w:rFonts w:cstheme="minorHAnsi"/>
        </w:rPr>
        <w:t xml:space="preserve">ing for any diarrhoetic faecal sample submitted to </w:t>
      </w:r>
      <w:r>
        <w:rPr>
          <w:rFonts w:cstheme="minorHAnsi"/>
        </w:rPr>
        <w:t xml:space="preserve">the </w:t>
      </w:r>
      <w:r w:rsidRPr="00950F38">
        <w:rPr>
          <w:rFonts w:cstheme="minorHAnsi"/>
        </w:rPr>
        <w:t>laboratory</w:t>
      </w:r>
      <w:r>
        <w:rPr>
          <w:rFonts w:cstheme="minorHAnsi"/>
        </w:rPr>
        <w:t>. The study was excluded because</w:t>
      </w:r>
      <w:r w:rsidRPr="00950F38">
        <w:rPr>
          <w:rFonts w:cstheme="minorHAnsi"/>
        </w:rPr>
        <w:t xml:space="preserve"> </w:t>
      </w:r>
      <w:r>
        <w:rPr>
          <w:rFonts w:cstheme="minorHAnsi"/>
        </w:rPr>
        <w:t>it included patients who had diarrhoea</w:t>
      </w:r>
      <w:r w:rsidRPr="00950F38">
        <w:rPr>
          <w:rFonts w:cstheme="minorHAnsi"/>
        </w:rPr>
        <w:t xml:space="preserve"> at admission </w:t>
      </w:r>
      <w:r>
        <w:rPr>
          <w:rFonts w:cstheme="minorHAnsi"/>
        </w:rPr>
        <w:t>as well as those</w:t>
      </w:r>
      <w:r w:rsidRPr="00950F38">
        <w:rPr>
          <w:rFonts w:cstheme="minorHAnsi"/>
        </w:rPr>
        <w:t xml:space="preserve"> already admitted</w:t>
      </w:r>
      <w:r>
        <w:rPr>
          <w:rFonts w:cstheme="minorHAnsi"/>
        </w:rPr>
        <w:t xml:space="preserve"> and because o</w:t>
      </w:r>
      <w:r w:rsidRPr="00950F38">
        <w:rPr>
          <w:rFonts w:cstheme="minorHAnsi"/>
        </w:rPr>
        <w:t xml:space="preserve">ther interventions </w:t>
      </w:r>
      <w:r>
        <w:rPr>
          <w:rFonts w:cstheme="minorHAnsi"/>
        </w:rPr>
        <w:t xml:space="preserve">were </w:t>
      </w:r>
      <w:r w:rsidRPr="00950F38">
        <w:rPr>
          <w:rFonts w:cstheme="minorHAnsi"/>
        </w:rPr>
        <w:t xml:space="preserve">introduced at the same time </w:t>
      </w:r>
      <w:r>
        <w:rPr>
          <w:rFonts w:cstheme="minorHAnsi"/>
        </w:rPr>
        <w:t>(</w:t>
      </w:r>
      <w:r w:rsidRPr="00950F38">
        <w:rPr>
          <w:rFonts w:cstheme="minorHAnsi"/>
        </w:rPr>
        <w:t xml:space="preserve">staff education and observing </w:t>
      </w:r>
      <w:r>
        <w:rPr>
          <w:rFonts w:cstheme="minorHAnsi"/>
        </w:rPr>
        <w:t>hand hygiene)</w:t>
      </w:r>
      <w:r w:rsidRPr="00950F38">
        <w:rPr>
          <w:rFonts w:cstheme="minorHAnsi"/>
        </w:rPr>
        <w:t xml:space="preserve">. The authors reported that eight patients developed </w:t>
      </w:r>
      <w:r w:rsidR="00E2003E">
        <w:rPr>
          <w:rFonts w:cstheme="minorHAnsi"/>
        </w:rPr>
        <w:t xml:space="preserve">healthcare associated </w:t>
      </w:r>
      <w:r>
        <w:rPr>
          <w:rFonts w:cstheme="minorHAnsi"/>
        </w:rPr>
        <w:t>norovirus</w:t>
      </w:r>
      <w:r w:rsidRPr="00950F38">
        <w:rPr>
          <w:rFonts w:cstheme="minorHAnsi"/>
        </w:rPr>
        <w:t xml:space="preserve"> after </w:t>
      </w:r>
      <w:r w:rsidR="009A031D">
        <w:rPr>
          <w:rFonts w:cstheme="minorHAnsi"/>
        </w:rPr>
        <w:t>the</w:t>
      </w:r>
      <w:r w:rsidRPr="00950F38">
        <w:rPr>
          <w:rFonts w:cstheme="minorHAnsi"/>
        </w:rPr>
        <w:t xml:space="preserve"> introduction of routine </w:t>
      </w:r>
      <w:r w:rsidR="00962F76">
        <w:rPr>
          <w:rFonts w:cstheme="minorHAnsi"/>
        </w:rPr>
        <w:t>test</w:t>
      </w:r>
      <w:r w:rsidRPr="00950F38">
        <w:rPr>
          <w:rFonts w:cstheme="minorHAnsi"/>
        </w:rPr>
        <w:t>ing, compared to</w:t>
      </w:r>
      <w:r w:rsidR="001128A6">
        <w:rPr>
          <w:rFonts w:cstheme="minorHAnsi"/>
        </w:rPr>
        <w:t xml:space="preserve"> eleven </w:t>
      </w:r>
      <w:r w:rsidRPr="00950F38">
        <w:rPr>
          <w:rFonts w:cstheme="minorHAnsi"/>
        </w:rPr>
        <w:t xml:space="preserve">before the </w:t>
      </w:r>
      <w:r w:rsidR="00962F76">
        <w:rPr>
          <w:rFonts w:cstheme="minorHAnsi"/>
        </w:rPr>
        <w:t>test</w:t>
      </w:r>
      <w:r w:rsidRPr="00950F38">
        <w:rPr>
          <w:rFonts w:cstheme="minorHAnsi"/>
        </w:rPr>
        <w:t xml:space="preserve">ing. However, the number of patients increased in hospital </w:t>
      </w:r>
      <w:r>
        <w:rPr>
          <w:rFonts w:cstheme="minorHAnsi"/>
        </w:rPr>
        <w:t xml:space="preserve">during the intervention, </w:t>
      </w:r>
      <w:r w:rsidRPr="00950F38">
        <w:rPr>
          <w:rFonts w:cstheme="minorHAnsi"/>
        </w:rPr>
        <w:t xml:space="preserve">thus the incidence </w:t>
      </w:r>
      <w:r>
        <w:rPr>
          <w:rFonts w:cstheme="minorHAnsi"/>
        </w:rPr>
        <w:t xml:space="preserve">per 1000 patient days </w:t>
      </w:r>
      <w:r w:rsidRPr="00950F38">
        <w:rPr>
          <w:rFonts w:cstheme="minorHAnsi"/>
        </w:rPr>
        <w:t>decreased from 131 to 16 (p&lt;0.001).</w:t>
      </w:r>
      <w:r>
        <w:rPr>
          <w:rFonts w:cstheme="minorHAnsi"/>
        </w:rPr>
        <w:t xml:space="preserve"> In the second study,</w:t>
      </w:r>
      <w:r w:rsidR="001F3854">
        <w:rPr>
          <w:rFonts w:cstheme="minorHAnsi"/>
          <w:vertAlign w:val="superscript"/>
        </w:rPr>
        <w:t>61</w:t>
      </w:r>
      <w:r>
        <w:rPr>
          <w:rFonts w:cstheme="minorHAnsi"/>
        </w:rPr>
        <w:t xml:space="preserve"> the authors retrospectively tested stool samples which were </w:t>
      </w:r>
      <w:r w:rsidRPr="005861E6">
        <w:rPr>
          <w:rFonts w:cstheme="minorHAnsi"/>
        </w:rPr>
        <w:t>previously submitted for bacteriological but not virological testing. The</w:t>
      </w:r>
      <w:r>
        <w:rPr>
          <w:rFonts w:cstheme="minorHAnsi"/>
        </w:rPr>
        <w:t xml:space="preserve"> study</w:t>
      </w:r>
      <w:r w:rsidRPr="005861E6">
        <w:rPr>
          <w:rFonts w:cstheme="minorHAnsi"/>
        </w:rPr>
        <w:t xml:space="preserve"> identified 45 patients who had norovirus</w:t>
      </w:r>
      <w:r>
        <w:rPr>
          <w:rFonts w:cstheme="minorHAnsi"/>
        </w:rPr>
        <w:t>-</w:t>
      </w:r>
      <w:r w:rsidRPr="005861E6">
        <w:rPr>
          <w:rFonts w:cstheme="minorHAnsi"/>
        </w:rPr>
        <w:t>positive stools but were not diagnosed as infected. A total of 20 of the</w:t>
      </w:r>
      <w:r>
        <w:rPr>
          <w:rFonts w:cstheme="minorHAnsi"/>
        </w:rPr>
        <w:t>se</w:t>
      </w:r>
      <w:r w:rsidRPr="005861E6">
        <w:rPr>
          <w:rFonts w:cstheme="minorHAnsi"/>
        </w:rPr>
        <w:t xml:space="preserve"> were reported to be hospitalised, </w:t>
      </w:r>
      <w:r>
        <w:rPr>
          <w:rFonts w:cstheme="minorHAnsi"/>
        </w:rPr>
        <w:t xml:space="preserve">18 </w:t>
      </w:r>
      <w:r w:rsidRPr="005861E6">
        <w:rPr>
          <w:rFonts w:cstheme="minorHAnsi"/>
        </w:rPr>
        <w:t xml:space="preserve">of whom were admitted. </w:t>
      </w:r>
      <w:r>
        <w:rPr>
          <w:rFonts w:cstheme="minorHAnsi"/>
        </w:rPr>
        <w:t>Norovirus</w:t>
      </w:r>
      <w:r w:rsidRPr="005861E6">
        <w:rPr>
          <w:rFonts w:cstheme="minorHAnsi"/>
        </w:rPr>
        <w:t xml:space="preserve"> strains </w:t>
      </w:r>
      <w:r>
        <w:rPr>
          <w:rFonts w:cstheme="minorHAnsi"/>
        </w:rPr>
        <w:t xml:space="preserve">from these 20 patients </w:t>
      </w:r>
      <w:r w:rsidRPr="005861E6">
        <w:rPr>
          <w:rFonts w:cstheme="minorHAnsi"/>
        </w:rPr>
        <w:t xml:space="preserve">were genotyped and compared to the strains identified in hospital before the study was conducted. The authors reported that there were three previously recognised clusters of two patients each but </w:t>
      </w:r>
      <w:r>
        <w:rPr>
          <w:rFonts w:cstheme="minorHAnsi"/>
        </w:rPr>
        <w:t>if the</w:t>
      </w:r>
      <w:r w:rsidRPr="005861E6">
        <w:rPr>
          <w:rFonts w:cstheme="minorHAnsi"/>
        </w:rPr>
        <w:t xml:space="preserve"> missed patients were included, one of these clusters would have increased by three patients and another </w:t>
      </w:r>
      <w:r>
        <w:rPr>
          <w:rFonts w:cstheme="minorHAnsi"/>
        </w:rPr>
        <w:t>cluster</w:t>
      </w:r>
      <w:r w:rsidRPr="005861E6">
        <w:rPr>
          <w:rFonts w:cstheme="minorHAnsi"/>
        </w:rPr>
        <w:t xml:space="preserve"> by one patient. It was also reported that one of these clusters would have been identified four days earlier. Additionally, there were </w:t>
      </w:r>
      <w:r w:rsidR="00161B15">
        <w:rPr>
          <w:rFonts w:cstheme="minorHAnsi"/>
        </w:rPr>
        <w:t xml:space="preserve">a </w:t>
      </w:r>
      <w:r w:rsidRPr="005861E6">
        <w:rPr>
          <w:rFonts w:cstheme="minorHAnsi"/>
        </w:rPr>
        <w:t>further three, previously unrecognised clusters of norovirus cases. Based on the onset of the symptoms, the authors estimated that out of these six clusters, five were triggered by undiagnosed index cases.</w:t>
      </w:r>
    </w:p>
    <w:p w14:paraId="502A15CD" w14:textId="3F26BA54" w:rsidR="001E7CDB" w:rsidRPr="001E7CDB" w:rsidRDefault="001E7CDB" w:rsidP="00CF7116">
      <w:pPr>
        <w:spacing w:before="240" w:line="276" w:lineRule="auto"/>
        <w:rPr>
          <w:rFonts w:cstheme="minorHAnsi"/>
          <w:i/>
          <w:iCs/>
        </w:rPr>
      </w:pPr>
      <w:r w:rsidRPr="001E7CDB">
        <w:rPr>
          <w:rFonts w:cstheme="minorHAnsi"/>
          <w:i/>
          <w:iCs/>
        </w:rPr>
        <w:t xml:space="preserve">The Working Party concluded that </w:t>
      </w:r>
      <w:r>
        <w:rPr>
          <w:rFonts w:cstheme="minorHAnsi"/>
          <w:i/>
          <w:iCs/>
        </w:rPr>
        <w:t xml:space="preserve">there is currently no evidence to support any recommendations about testing all symptomatic patients at admission. Early detection of affected individuals may prevent the outbreaks from occurring and with the advancements in technology, the practice of testing for gastrointestinal pathogens </w:t>
      </w:r>
      <w:r w:rsidR="00161B15">
        <w:rPr>
          <w:rFonts w:cstheme="minorHAnsi"/>
          <w:i/>
          <w:iCs/>
        </w:rPr>
        <w:t xml:space="preserve">has </w:t>
      </w:r>
      <w:r>
        <w:rPr>
          <w:rFonts w:cstheme="minorHAnsi"/>
          <w:i/>
          <w:iCs/>
        </w:rPr>
        <w:t xml:space="preserve">become increasingly common. Therefore, the Working Party agree that wherever possible (i.e. where these facilities are available) all symptomatic cases </w:t>
      </w:r>
      <w:r w:rsidR="00161B15">
        <w:rPr>
          <w:rFonts w:cstheme="minorHAnsi"/>
          <w:i/>
          <w:iCs/>
        </w:rPr>
        <w:t>should</w:t>
      </w:r>
      <w:r>
        <w:rPr>
          <w:rFonts w:cstheme="minorHAnsi"/>
          <w:i/>
          <w:iCs/>
        </w:rPr>
        <w:t xml:space="preserve"> be tested for norovirus so that appropriate actions can be taken before patients are admitted. </w:t>
      </w:r>
    </w:p>
    <w:p w14:paraId="47945A5C" w14:textId="77777777" w:rsidR="001663F7" w:rsidRPr="001E7CDB" w:rsidRDefault="001663F7" w:rsidP="00CF7116">
      <w:pPr>
        <w:spacing w:line="276" w:lineRule="auto"/>
        <w:rPr>
          <w:b/>
          <w:bCs/>
        </w:rPr>
      </w:pPr>
      <w:r w:rsidRPr="001E7CDB">
        <w:rPr>
          <w:b/>
          <w:bCs/>
        </w:rPr>
        <w:t>Recommendations:</w:t>
      </w:r>
    </w:p>
    <w:p w14:paraId="215B59FC" w14:textId="6F967CD2" w:rsidR="001663F7" w:rsidRPr="009A031D" w:rsidRDefault="001E7CDB" w:rsidP="00CF7116">
      <w:pPr>
        <w:spacing w:before="240" w:line="276" w:lineRule="auto"/>
      </w:pPr>
      <w:r w:rsidRPr="001E7CDB">
        <w:rPr>
          <w:b/>
          <w:bCs/>
        </w:rPr>
        <w:t xml:space="preserve">6.1: </w:t>
      </w:r>
      <w:r>
        <w:t>No recommendation</w:t>
      </w:r>
    </w:p>
    <w:p w14:paraId="4897D4DD" w14:textId="77777777" w:rsidR="001663F7" w:rsidRPr="001E7CDB" w:rsidRDefault="001663F7" w:rsidP="00CF7116">
      <w:pPr>
        <w:spacing w:line="276" w:lineRule="auto"/>
        <w:rPr>
          <w:b/>
          <w:bCs/>
        </w:rPr>
      </w:pPr>
      <w:r w:rsidRPr="001E7CDB">
        <w:rPr>
          <w:b/>
          <w:bCs/>
        </w:rPr>
        <w:t>Good practice points:</w:t>
      </w:r>
    </w:p>
    <w:p w14:paraId="03CE0498" w14:textId="140D8CC3" w:rsidR="001663F7" w:rsidRDefault="009A031D" w:rsidP="00CF7116">
      <w:pPr>
        <w:spacing w:before="240" w:line="276" w:lineRule="auto"/>
      </w:pPr>
      <w:r w:rsidRPr="001E7CDB">
        <w:rPr>
          <w:b/>
          <w:bCs/>
        </w:rPr>
        <w:t>GPP</w:t>
      </w:r>
      <w:r w:rsidR="00953810">
        <w:rPr>
          <w:b/>
          <w:bCs/>
        </w:rPr>
        <w:t xml:space="preserve"> </w:t>
      </w:r>
      <w:r w:rsidR="001E7CDB" w:rsidRPr="001E7CDB">
        <w:rPr>
          <w:b/>
          <w:bCs/>
        </w:rPr>
        <w:t>6.</w:t>
      </w:r>
      <w:r w:rsidRPr="001E7CDB">
        <w:rPr>
          <w:b/>
          <w:bCs/>
        </w:rPr>
        <w:t>1:</w:t>
      </w:r>
      <w:r w:rsidRPr="009A031D">
        <w:t xml:space="preserve"> </w:t>
      </w:r>
      <w:r w:rsidR="001E7CDB">
        <w:t>Wherever possible, test</w:t>
      </w:r>
      <w:r w:rsidRPr="009A031D">
        <w:t xml:space="preserve"> </w:t>
      </w:r>
      <w:r w:rsidR="001E7CDB">
        <w:t xml:space="preserve">all </w:t>
      </w:r>
      <w:r w:rsidRPr="009A031D">
        <w:t xml:space="preserve">symptomatic patients </w:t>
      </w:r>
      <w:r w:rsidR="001E7CDB">
        <w:t xml:space="preserve">for norovirus </w:t>
      </w:r>
      <w:r w:rsidRPr="009A031D">
        <w:t>at admission</w:t>
      </w:r>
      <w:r w:rsidR="001E7CDB">
        <w:t xml:space="preserve">. </w:t>
      </w:r>
    </w:p>
    <w:p w14:paraId="097D8AA1" w14:textId="77777777" w:rsidR="001663F7" w:rsidRDefault="001663F7" w:rsidP="00CF7116">
      <w:pPr>
        <w:spacing w:before="240" w:line="276" w:lineRule="auto"/>
      </w:pPr>
    </w:p>
    <w:p w14:paraId="5CCB2544" w14:textId="15990C7C" w:rsidR="00E758C0" w:rsidRDefault="00E758C0" w:rsidP="00CF7116">
      <w:pPr>
        <w:pStyle w:val="Heading2"/>
        <w:spacing w:before="240" w:after="160" w:line="276" w:lineRule="auto"/>
      </w:pPr>
      <w:r>
        <w:lastRenderedPageBreak/>
        <w:t>8.7</w:t>
      </w:r>
      <w:r w:rsidRPr="00E758C0">
        <w:tab/>
        <w:t xml:space="preserve">What is the clinical and cost-effectiveness of </w:t>
      </w:r>
      <w:r w:rsidR="009A031D">
        <w:t>testing</w:t>
      </w:r>
      <w:r w:rsidRPr="00E758C0">
        <w:t xml:space="preserve"> all individuals who develop vomiting and/or diarrhoea?</w:t>
      </w:r>
    </w:p>
    <w:p w14:paraId="37818F0E" w14:textId="446D0508" w:rsidR="009A031D" w:rsidRDefault="009A031D" w:rsidP="00CF7116">
      <w:pPr>
        <w:spacing w:before="240" w:line="276" w:lineRule="auto"/>
      </w:pPr>
      <w:r>
        <w:t>As with admission testing, early identification of possible norovirus cases on a ward or a unit could prevent transmission to others. However, there may be clinical areas where patients develop symptoms compatible with norovirus infection which are a result of an underlying illness or are triggered by treatment (e.g. chemotherapy). Previous guidelines</w:t>
      </w:r>
      <w:r w:rsidR="00AC0F9C" w:rsidRPr="00AC0F9C">
        <w:rPr>
          <w:vertAlign w:val="superscript"/>
        </w:rPr>
        <w:t>1</w:t>
      </w:r>
      <w:r>
        <w:t xml:space="preserve"> recommended that all inpatients who developed diarrhoea should be tested and that this approach may help to identify or rule out an outbreak. The guidelines also stated that testing all patients should be stopped once the outbreak is identified and confirmed. It is currently not clear whether routine testing is clinically and cost effective and whether it should be applied in both the outbreak and non-outbreak settings. </w:t>
      </w:r>
    </w:p>
    <w:p w14:paraId="72C41011" w14:textId="77777777" w:rsidR="001663F7" w:rsidRPr="00E31A58" w:rsidRDefault="001663F7" w:rsidP="00CF7116">
      <w:pPr>
        <w:pStyle w:val="Heading3"/>
        <w:spacing w:line="276" w:lineRule="auto"/>
      </w:pPr>
      <w:r>
        <w:t>Outbreak situations</w:t>
      </w:r>
    </w:p>
    <w:p w14:paraId="66A95D93" w14:textId="16FFE7DD" w:rsidR="001663F7" w:rsidRDefault="001663F7" w:rsidP="00CF7116">
      <w:pPr>
        <w:spacing w:before="240" w:line="276" w:lineRule="auto"/>
      </w:pPr>
      <w:r w:rsidRPr="0095272F">
        <w:t>There was</w:t>
      </w:r>
      <w:r w:rsidRPr="009A031D">
        <w:t xml:space="preserve"> </w:t>
      </w:r>
      <w:r w:rsidR="009A031D">
        <w:t xml:space="preserve">very </w:t>
      </w:r>
      <w:r w:rsidRPr="009A031D">
        <w:t>weak</w:t>
      </w:r>
      <w:r w:rsidRPr="00B15BBD">
        <w:t xml:space="preserve"> evidence</w:t>
      </w:r>
      <w:r>
        <w:t xml:space="preserve"> from one outbreak study,</w:t>
      </w:r>
      <w:r w:rsidR="001F3854">
        <w:rPr>
          <w:vertAlign w:val="superscript"/>
        </w:rPr>
        <w:t>62</w:t>
      </w:r>
      <w:r>
        <w:t xml:space="preserve"> which reported </w:t>
      </w:r>
      <w:r w:rsidR="0032121B">
        <w:t>testing</w:t>
      </w:r>
      <w:r>
        <w:t xml:space="preserve"> all symptomatic patients during a norovirus outbreak in hospital setting. This o</w:t>
      </w:r>
      <w:r w:rsidRPr="00E31A58">
        <w:t>utbreak</w:t>
      </w:r>
      <w:r>
        <w:t>, which was recognised late (day 27)</w:t>
      </w:r>
      <w:r w:rsidRPr="00E31A58">
        <w:t xml:space="preserve"> </w:t>
      </w:r>
      <w:r>
        <w:t xml:space="preserve">occurred </w:t>
      </w:r>
      <w:r w:rsidRPr="00E31A58">
        <w:t xml:space="preserve">in paediatric haematology </w:t>
      </w:r>
      <w:r>
        <w:t>and</w:t>
      </w:r>
      <w:r w:rsidRPr="00E31A58">
        <w:t xml:space="preserve"> oncology unit</w:t>
      </w:r>
      <w:r>
        <w:t>, affecting a total of 13 cases and lasting 38 days. The authors stated that all symptomatic patients were tested and that this included most of the patients on the unit (67/92, 75%) as these patients frequently experience</w:t>
      </w:r>
      <w:r w:rsidR="009A031D">
        <w:t>d</w:t>
      </w:r>
      <w:r>
        <w:t xml:space="preserve"> diarrhoea due to treatment they receive</w:t>
      </w:r>
      <w:r w:rsidR="009A031D">
        <w:t>d</w:t>
      </w:r>
      <w:r>
        <w:t>. The a</w:t>
      </w:r>
      <w:r w:rsidRPr="00E31A58">
        <w:t xml:space="preserve">uthors </w:t>
      </w:r>
      <w:r>
        <w:t>reported</w:t>
      </w:r>
      <w:r w:rsidRPr="00E31A58">
        <w:t xml:space="preserve"> that </w:t>
      </w:r>
      <w:r>
        <w:t xml:space="preserve">in this population of patients with </w:t>
      </w:r>
      <w:r w:rsidR="009A031D">
        <w:t xml:space="preserve">a </w:t>
      </w:r>
      <w:r>
        <w:t xml:space="preserve">high prevalence of diarrhoea, </w:t>
      </w:r>
      <w:r w:rsidR="0032121B">
        <w:t>testing</w:t>
      </w:r>
      <w:r w:rsidRPr="00E31A58">
        <w:t xml:space="preserve"> all symptomatic patients helped them </w:t>
      </w:r>
      <w:r>
        <w:t>to distinguish between infected</w:t>
      </w:r>
      <w:r w:rsidRPr="00E31A58">
        <w:t xml:space="preserve"> </w:t>
      </w:r>
      <w:r>
        <w:t xml:space="preserve">and non-infected </w:t>
      </w:r>
      <w:r w:rsidRPr="00E31A58">
        <w:t>cases for isolation and cohorting.</w:t>
      </w:r>
    </w:p>
    <w:p w14:paraId="0A77C4EB" w14:textId="2EC102EF" w:rsidR="001663F7" w:rsidRPr="00E31A58" w:rsidRDefault="001663F7" w:rsidP="00CF7116">
      <w:pPr>
        <w:spacing w:before="240" w:line="276" w:lineRule="auto"/>
      </w:pPr>
      <w:r w:rsidRPr="0095272F">
        <w:t xml:space="preserve">There was </w:t>
      </w:r>
      <w:r w:rsidR="009A031D">
        <w:t xml:space="preserve">very </w:t>
      </w:r>
      <w:r w:rsidR="009A031D" w:rsidRPr="009A031D">
        <w:t>weak</w:t>
      </w:r>
      <w:r w:rsidR="009A031D" w:rsidRPr="00B15BBD">
        <w:t xml:space="preserve"> </w:t>
      </w:r>
      <w:r w:rsidRPr="00B15BBD">
        <w:t>evidence</w:t>
      </w:r>
      <w:r>
        <w:t xml:space="preserve"> from one outbreak study,</w:t>
      </w:r>
      <w:r w:rsidR="001F3854">
        <w:rPr>
          <w:vertAlign w:val="superscript"/>
        </w:rPr>
        <w:t>48</w:t>
      </w:r>
      <w:r>
        <w:t xml:space="preserve"> which reported </w:t>
      </w:r>
      <w:r w:rsidR="0032121B">
        <w:t>testing</w:t>
      </w:r>
      <w:r>
        <w:t xml:space="preserve"> all symptomatic individuals during a norovirus outbreak outside </w:t>
      </w:r>
      <w:r w:rsidR="00161B15">
        <w:t xml:space="preserve">a </w:t>
      </w:r>
      <w:r>
        <w:t xml:space="preserve">health and care setting. This outbreak occurred on a military base and affected 156 cases, lasting 17 days. As a part of control measures, all symptomatic individuals were </w:t>
      </w:r>
      <w:r w:rsidR="0032121B">
        <w:t>tested</w:t>
      </w:r>
      <w:r>
        <w:t xml:space="preserve"> for norovirus and were given medical leave until they recovered. The authors reported that these control measures, together with thorough disinfection upon confirmation of norovirus being isolated from stool samples, we</w:t>
      </w:r>
      <w:r w:rsidR="006C356B">
        <w:t>re</w:t>
      </w:r>
      <w:r>
        <w:t xml:space="preserve"> effective in controlling and eventually terminating the outbreak which lasted </w:t>
      </w:r>
      <w:r w:rsidR="009A031D">
        <w:t xml:space="preserve">for a </w:t>
      </w:r>
      <w:r>
        <w:t>further</w:t>
      </w:r>
      <w:r w:rsidR="001128A6">
        <w:t xml:space="preserve"> twelve </w:t>
      </w:r>
      <w:r>
        <w:t xml:space="preserve">days and affected 68 cases. </w:t>
      </w:r>
    </w:p>
    <w:p w14:paraId="2FCA3028" w14:textId="6E3F16ED" w:rsidR="001663F7" w:rsidRDefault="001663F7"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cost effectiveness of </w:t>
      </w:r>
      <w:r w:rsidR="0032121B">
        <w:rPr>
          <w:rFonts w:cstheme="minorHAnsi"/>
        </w:rPr>
        <w:t>testing</w:t>
      </w:r>
      <w:r>
        <w:rPr>
          <w:rFonts w:cstheme="minorHAnsi"/>
        </w:rPr>
        <w:t xml:space="preserve"> all patients who developed vomiting and/or diarrhoea in any setting.</w:t>
      </w:r>
    </w:p>
    <w:p w14:paraId="7AA63EA0" w14:textId="77777777" w:rsidR="001663F7" w:rsidRPr="00E31A58" w:rsidRDefault="001663F7" w:rsidP="00CF7116">
      <w:pPr>
        <w:pStyle w:val="Heading3"/>
        <w:spacing w:line="276" w:lineRule="auto"/>
      </w:pPr>
      <w:r>
        <w:t>Non-outbreak situations</w:t>
      </w:r>
    </w:p>
    <w:p w14:paraId="56BD86FF" w14:textId="6B57253B" w:rsidR="001663F7" w:rsidRDefault="001663F7"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and cost effectiveness of </w:t>
      </w:r>
      <w:r w:rsidR="0032121B">
        <w:rPr>
          <w:rFonts w:cstheme="minorHAnsi"/>
        </w:rPr>
        <w:t>testing</w:t>
      </w:r>
      <w:r>
        <w:rPr>
          <w:rFonts w:cstheme="minorHAnsi"/>
        </w:rPr>
        <w:t xml:space="preserve"> all patients who developed vomiting and/or diarrhoea to prevent outbreaks and pseudo-outbreaks in any setting.</w:t>
      </w:r>
    </w:p>
    <w:p w14:paraId="502E36BE" w14:textId="5554CCC8" w:rsidR="0032121B" w:rsidRDefault="0032121B" w:rsidP="00CF7116">
      <w:pPr>
        <w:spacing w:before="240" w:line="276" w:lineRule="auto"/>
        <w:rPr>
          <w:rFonts w:cstheme="minorHAnsi"/>
          <w:i/>
          <w:iCs/>
        </w:rPr>
      </w:pPr>
      <w:r>
        <w:rPr>
          <w:rFonts w:cstheme="minorHAnsi"/>
          <w:i/>
          <w:iCs/>
        </w:rPr>
        <w:t xml:space="preserve">Despite the lack of strong evidence for the benefits, </w:t>
      </w:r>
      <w:r w:rsidR="009A031D" w:rsidRPr="009A031D">
        <w:rPr>
          <w:rFonts w:cstheme="minorHAnsi"/>
          <w:i/>
          <w:iCs/>
        </w:rPr>
        <w:t>the W</w:t>
      </w:r>
      <w:r>
        <w:rPr>
          <w:rFonts w:cstheme="minorHAnsi"/>
          <w:i/>
          <w:iCs/>
        </w:rPr>
        <w:t xml:space="preserve">orking </w:t>
      </w:r>
      <w:r w:rsidR="009A031D" w:rsidRPr="009A031D">
        <w:rPr>
          <w:rFonts w:cstheme="minorHAnsi"/>
          <w:i/>
          <w:iCs/>
        </w:rPr>
        <w:t>P</w:t>
      </w:r>
      <w:r>
        <w:rPr>
          <w:rFonts w:cstheme="minorHAnsi"/>
          <w:i/>
          <w:iCs/>
        </w:rPr>
        <w:t>arty</w:t>
      </w:r>
      <w:r w:rsidR="009A031D" w:rsidRPr="009A031D">
        <w:rPr>
          <w:rFonts w:cstheme="minorHAnsi"/>
          <w:i/>
          <w:iCs/>
        </w:rPr>
        <w:t xml:space="preserve"> fe</w:t>
      </w:r>
      <w:r w:rsidR="00161B15">
        <w:rPr>
          <w:rFonts w:cstheme="minorHAnsi"/>
          <w:i/>
          <w:iCs/>
        </w:rPr>
        <w:t>lt</w:t>
      </w:r>
      <w:r w:rsidR="009A031D" w:rsidRPr="009A031D">
        <w:rPr>
          <w:rFonts w:cstheme="minorHAnsi"/>
          <w:i/>
          <w:iCs/>
        </w:rPr>
        <w:t xml:space="preserve"> that it is good practice, where resources allow, to test all symptomatic patients for </w:t>
      </w:r>
      <w:r>
        <w:rPr>
          <w:rFonts w:cstheme="minorHAnsi"/>
          <w:i/>
          <w:iCs/>
        </w:rPr>
        <w:t>norovirus</w:t>
      </w:r>
      <w:r w:rsidR="009A031D" w:rsidRPr="009A031D">
        <w:rPr>
          <w:rFonts w:cstheme="minorHAnsi"/>
          <w:i/>
          <w:iCs/>
        </w:rPr>
        <w:t xml:space="preserve"> infection</w:t>
      </w:r>
      <w:r>
        <w:rPr>
          <w:rFonts w:cstheme="minorHAnsi"/>
          <w:i/>
          <w:iCs/>
        </w:rPr>
        <w:t xml:space="preserve">. Testing may have benefits in both outbreak and non-outbreak situations. Testing all symptomatic individuals may help to define an outbreak or even prevent an outbreak from occurring if the initial cases are promptly identified and managed. During outbreaks, testing can help to identify positive cases so that the control measures (i.e. isolation or cohorting) can be applied. This may be particularly important in </w:t>
      </w:r>
      <w:r>
        <w:rPr>
          <w:rFonts w:cstheme="minorHAnsi"/>
          <w:i/>
          <w:iCs/>
        </w:rPr>
        <w:lastRenderedPageBreak/>
        <w:t xml:space="preserve">acute settings where some patient populations (i.e. patients cared for on gastrointestinal wards) may demonstrate symptoms compatible with norovirus infection. </w:t>
      </w:r>
    </w:p>
    <w:p w14:paraId="3040E16F" w14:textId="77777777" w:rsidR="001663F7" w:rsidRPr="0032121B" w:rsidRDefault="001663F7" w:rsidP="00CF7116">
      <w:pPr>
        <w:spacing w:line="276" w:lineRule="auto"/>
        <w:rPr>
          <w:b/>
          <w:bCs/>
        </w:rPr>
      </w:pPr>
      <w:r w:rsidRPr="0032121B">
        <w:rPr>
          <w:b/>
          <w:bCs/>
        </w:rPr>
        <w:t>Recommendations:</w:t>
      </w:r>
    </w:p>
    <w:p w14:paraId="44152875" w14:textId="74B01218" w:rsidR="001663F7" w:rsidRPr="009A031D" w:rsidRDefault="0032121B" w:rsidP="00CF7116">
      <w:pPr>
        <w:spacing w:before="240" w:line="276" w:lineRule="auto"/>
      </w:pPr>
      <w:r w:rsidRPr="0032121B">
        <w:rPr>
          <w:b/>
          <w:bCs/>
        </w:rPr>
        <w:t>7.1:</w:t>
      </w:r>
      <w:r>
        <w:t xml:space="preserve"> No recommendation</w:t>
      </w:r>
    </w:p>
    <w:p w14:paraId="7ABDDA44" w14:textId="77777777" w:rsidR="001663F7" w:rsidRPr="0032121B" w:rsidRDefault="001663F7" w:rsidP="00CF7116">
      <w:pPr>
        <w:spacing w:line="276" w:lineRule="auto"/>
        <w:rPr>
          <w:b/>
          <w:bCs/>
        </w:rPr>
      </w:pPr>
      <w:r w:rsidRPr="0032121B">
        <w:rPr>
          <w:b/>
          <w:bCs/>
        </w:rPr>
        <w:t>Good practice points:</w:t>
      </w:r>
    </w:p>
    <w:p w14:paraId="606B6F6B" w14:textId="4224C1AC" w:rsidR="001663F7" w:rsidRDefault="0032121B" w:rsidP="00CF7116">
      <w:pPr>
        <w:spacing w:before="240" w:line="276" w:lineRule="auto"/>
      </w:pPr>
      <w:r w:rsidRPr="0032121B">
        <w:rPr>
          <w:b/>
          <w:bCs/>
        </w:rPr>
        <w:t>GPP 7.1:</w:t>
      </w:r>
      <w:r>
        <w:t xml:space="preserve"> Wherever possible, test all symptomatic patients to establish whether their symptoms are due to norovirus infection. </w:t>
      </w:r>
    </w:p>
    <w:p w14:paraId="6F538938" w14:textId="77777777" w:rsidR="001663F7" w:rsidRDefault="001663F7" w:rsidP="00CF7116">
      <w:pPr>
        <w:spacing w:before="240" w:line="276" w:lineRule="auto"/>
      </w:pPr>
    </w:p>
    <w:p w14:paraId="1BC8F3AC" w14:textId="2E92DE64" w:rsidR="00E758C0" w:rsidRDefault="00E758C0" w:rsidP="00CF7116">
      <w:pPr>
        <w:pStyle w:val="Heading2"/>
        <w:spacing w:before="240" w:after="160" w:line="276" w:lineRule="auto"/>
      </w:pPr>
      <w:r>
        <w:t>8.8</w:t>
      </w:r>
      <w:r w:rsidRPr="00E758C0">
        <w:tab/>
      </w:r>
      <w:bookmarkStart w:id="10" w:name="_Hlk115160718"/>
      <w:r w:rsidRPr="00E758C0">
        <w:t>What is the clinical and cost-effectiveness of follow-up testing for norovirus</w:t>
      </w:r>
      <w:r>
        <w:t>?</w:t>
      </w:r>
      <w:bookmarkEnd w:id="10"/>
    </w:p>
    <w:p w14:paraId="3CAD9308" w14:textId="2566ECCF" w:rsidR="00E758C0" w:rsidRDefault="00E758C0" w:rsidP="00CF7116">
      <w:pPr>
        <w:spacing w:before="240" w:line="276" w:lineRule="auto"/>
      </w:pPr>
      <w:r w:rsidRPr="00E758C0">
        <w:t xml:space="preserve">Norovirus is </w:t>
      </w:r>
      <w:r w:rsidR="009A031D">
        <w:t xml:space="preserve">usually </w:t>
      </w:r>
      <w:r w:rsidRPr="00E758C0">
        <w:t xml:space="preserve">self-limiting and symptoms and infectious period </w:t>
      </w:r>
      <w:r w:rsidR="009A031D">
        <w:t xml:space="preserve">typically </w:t>
      </w:r>
      <w:r w:rsidRPr="00E758C0">
        <w:t>pass within 24-48 hours.</w:t>
      </w:r>
      <w:r w:rsidR="009A031D" w:rsidRPr="009A031D">
        <w:t xml:space="preserve"> </w:t>
      </w:r>
      <w:r w:rsidR="009A031D" w:rsidRPr="00E758C0">
        <w:t xml:space="preserve">There </w:t>
      </w:r>
      <w:r w:rsidR="009A031D">
        <w:t>may be some individuals who shed the virus for longer and therefore may potentially infect others even after 48 hours. For this reason, follow-up testing may be performed to establish whether individual is still infectious. At the moment, it is not clear whether this approach provides</w:t>
      </w:r>
      <w:r w:rsidR="009A031D" w:rsidRPr="00E758C0">
        <w:t xml:space="preserve"> </w:t>
      </w:r>
      <w:r w:rsidR="009A031D">
        <w:t>any</w:t>
      </w:r>
      <w:r w:rsidR="009A031D" w:rsidRPr="00E758C0">
        <w:t xml:space="preserve"> clinical or cost</w:t>
      </w:r>
      <w:r w:rsidR="009A031D">
        <w:t xml:space="preserve"> benefits and it is not known whether positivity after this period indicates the shedding of infectious viral particles. Previous guidelines</w:t>
      </w:r>
      <w:r w:rsidR="00AC0F9C" w:rsidRPr="00AC0F9C">
        <w:rPr>
          <w:vertAlign w:val="superscript"/>
        </w:rPr>
        <w:t>1</w:t>
      </w:r>
      <w:r w:rsidR="009A031D">
        <w:t xml:space="preserve"> did not address </w:t>
      </w:r>
      <w:r w:rsidR="00364DC7">
        <w:t>this</w:t>
      </w:r>
      <w:r w:rsidR="009A031D">
        <w:t xml:space="preserve"> issue and did not make any recommendations whether follow-up testing should be performed. </w:t>
      </w:r>
    </w:p>
    <w:p w14:paraId="45E27D1F" w14:textId="7551D2DE" w:rsidR="001663F7" w:rsidRDefault="001663F7" w:rsidP="00CF7116">
      <w:pPr>
        <w:spacing w:before="240" w:line="276" w:lineRule="auto"/>
      </w:pPr>
      <w:r w:rsidRPr="0095272F">
        <w:t xml:space="preserve">There was </w:t>
      </w:r>
      <w:r w:rsidRPr="009A031D">
        <w:t xml:space="preserve">inconsistent </w:t>
      </w:r>
      <w:r w:rsidRPr="00B15BBD">
        <w:t>evidence</w:t>
      </w:r>
      <w:r>
        <w:t xml:space="preserve"> from three outbreak studies,</w:t>
      </w:r>
      <w:r w:rsidR="001F3854">
        <w:rPr>
          <w:vertAlign w:val="superscript"/>
        </w:rPr>
        <w:t>25,37,56</w:t>
      </w:r>
      <w:r>
        <w:t xml:space="preserve"> which reported using follow-up testing to prevent transmission of norovirus during outbreaks in healthcare settings. One of these studies,</w:t>
      </w:r>
      <w:r w:rsidR="001F3854" w:rsidRPr="001F3854">
        <w:rPr>
          <w:vertAlign w:val="superscript"/>
        </w:rPr>
        <w:t>5</w:t>
      </w:r>
      <w:r>
        <w:rPr>
          <w:vertAlign w:val="superscript"/>
        </w:rPr>
        <w:t>6</w:t>
      </w:r>
      <w:r>
        <w:t xml:space="preserve"> which did not report the number of cases infected or the duration of the outbreak, tested all patients frequently and mentioned that some of them were tested more than once. It was reported that in some cases, the </w:t>
      </w:r>
      <w:r w:rsidR="00EA6303">
        <w:t xml:space="preserve">testing, which was undertaken using PCR, </w:t>
      </w:r>
      <w:r>
        <w:t xml:space="preserve">was performed up to eight days </w:t>
      </w:r>
      <w:r w:rsidRPr="00B04BCB">
        <w:t>after the symptom onset</w:t>
      </w:r>
      <w:r>
        <w:t xml:space="preserve"> and that these patients </w:t>
      </w:r>
      <w:r w:rsidRPr="00B04BCB">
        <w:t xml:space="preserve">still </w:t>
      </w:r>
      <w:r>
        <w:t>tested positive</w:t>
      </w:r>
      <w:r w:rsidRPr="00B04BCB">
        <w:t xml:space="preserve">, which </w:t>
      </w:r>
      <w:r>
        <w:t xml:space="preserve">the </w:t>
      </w:r>
      <w:r w:rsidRPr="00B04BCB">
        <w:t xml:space="preserve">authors </w:t>
      </w:r>
      <w:r>
        <w:t>believed</w:t>
      </w:r>
      <w:r w:rsidRPr="00B04BCB">
        <w:t xml:space="preserve"> represented non-infectious virus being excreted. </w:t>
      </w:r>
      <w:r>
        <w:t>They suggested that n</w:t>
      </w:r>
      <w:r w:rsidRPr="00B04BCB">
        <w:t>o follow up testing</w:t>
      </w:r>
      <w:r>
        <w:t xml:space="preserve"> should be in place. The</w:t>
      </w:r>
      <w:r w:rsidRPr="00B04BCB">
        <w:t xml:space="preserve"> </w:t>
      </w:r>
      <w:r>
        <w:t>p</w:t>
      </w:r>
      <w:r w:rsidRPr="00B04BCB">
        <w:t xml:space="preserve">ossibility of chronic infection </w:t>
      </w:r>
      <w:r>
        <w:t>was not considered in this study</w:t>
      </w:r>
      <w:r w:rsidRPr="00B04BCB">
        <w:t>.</w:t>
      </w:r>
      <w:r>
        <w:t xml:space="preserve"> Another study,</w:t>
      </w:r>
      <w:r w:rsidR="001F3854">
        <w:rPr>
          <w:vertAlign w:val="superscript"/>
        </w:rPr>
        <w:t>25</w:t>
      </w:r>
      <w:r>
        <w:t xml:space="preserve"> which affected 22 patients and lasted 24 days </w:t>
      </w:r>
      <w:r w:rsidR="00962F76">
        <w:t>test</w:t>
      </w:r>
      <w:r>
        <w:t>ed all symptomatic patients twice a week until negative result</w:t>
      </w:r>
      <w:r w:rsidR="009A031D">
        <w:t>s</w:t>
      </w:r>
      <w:r>
        <w:t xml:space="preserve"> </w:t>
      </w:r>
      <w:r w:rsidR="009A031D">
        <w:t>were</w:t>
      </w:r>
      <w:r>
        <w:t xml:space="preserve"> obtained. Follow-up </w:t>
      </w:r>
      <w:r w:rsidR="00962F76">
        <w:t>test</w:t>
      </w:r>
      <w:r>
        <w:t xml:space="preserve">ing was one of the control measures which were introduced to manage the outbreak and it was reported that the control measures were effective with only four further cases occurring over the next 19 days. However, whilst these cases occurred, they were transferred from another ward, </w:t>
      </w:r>
      <w:r w:rsidRPr="00B04BCB">
        <w:t>which suggested re-introduction rather than continu</w:t>
      </w:r>
      <w:r>
        <w:t>ation of an</w:t>
      </w:r>
      <w:r w:rsidRPr="00B04BCB">
        <w:t xml:space="preserve"> outbreak. </w:t>
      </w:r>
      <w:r>
        <w:t>The last study</w:t>
      </w:r>
      <w:r w:rsidR="001F3854">
        <w:rPr>
          <w:vertAlign w:val="superscript"/>
        </w:rPr>
        <w:t>37</w:t>
      </w:r>
      <w:r>
        <w:t xml:space="preserve"> reported an o</w:t>
      </w:r>
      <w:r w:rsidRPr="00B04BCB">
        <w:t>utbreak in paediatric oncology unit</w:t>
      </w:r>
      <w:r>
        <w:t xml:space="preserve"> which lasted 23 days and affected 14 patients. The authors reported that </w:t>
      </w:r>
      <w:r w:rsidRPr="00B04BCB">
        <w:t xml:space="preserve">25 staff </w:t>
      </w:r>
      <w:r>
        <w:t xml:space="preserve">also had </w:t>
      </w:r>
      <w:r w:rsidRPr="00B04BCB">
        <w:t>compatible symptoms</w:t>
      </w:r>
      <w:r>
        <w:t xml:space="preserve">, </w:t>
      </w:r>
      <w:r w:rsidRPr="00B04BCB">
        <w:t xml:space="preserve">although only one </w:t>
      </w:r>
      <w:r>
        <w:t>of them w</w:t>
      </w:r>
      <w:r w:rsidR="00161B15">
        <w:t>as</w:t>
      </w:r>
      <w:r>
        <w:t xml:space="preserve"> </w:t>
      </w:r>
      <w:r w:rsidRPr="00B04BCB">
        <w:t xml:space="preserve">tested </w:t>
      </w:r>
      <w:r>
        <w:t xml:space="preserve">for norovirus. As a part of control measures, follow-up </w:t>
      </w:r>
      <w:r w:rsidR="00962F76">
        <w:t>test</w:t>
      </w:r>
      <w:r>
        <w:t>ing was performed until patients received a negative result. The a</w:t>
      </w:r>
      <w:r w:rsidRPr="00B04BCB">
        <w:t xml:space="preserve">uthors reported </w:t>
      </w:r>
      <w:r>
        <w:t xml:space="preserve">that </w:t>
      </w:r>
      <w:r w:rsidRPr="00B04BCB">
        <w:t xml:space="preserve">only four cases (patients) occurred after control measures </w:t>
      </w:r>
      <w:r>
        <w:t>were introduced</w:t>
      </w:r>
      <w:r w:rsidRPr="00B04BCB">
        <w:t xml:space="preserve">. </w:t>
      </w:r>
      <w:r>
        <w:t>They also s</w:t>
      </w:r>
      <w:r w:rsidRPr="00B04BCB">
        <w:t>tated that re</w:t>
      </w:r>
      <w:r>
        <w:t>-</w:t>
      </w:r>
      <w:r w:rsidRPr="00B04BCB">
        <w:t xml:space="preserve">testing might have been beneficial because </w:t>
      </w:r>
      <w:r>
        <w:t>seven</w:t>
      </w:r>
      <w:r w:rsidRPr="00B04BCB">
        <w:t xml:space="preserve"> patients tested </w:t>
      </w:r>
      <w:r>
        <w:t>positive</w:t>
      </w:r>
      <w:r w:rsidRPr="00B04BCB">
        <w:t xml:space="preserve"> for a prolonged period of time with </w:t>
      </w:r>
      <w:r>
        <w:t xml:space="preserve">an </w:t>
      </w:r>
      <w:r w:rsidRPr="00B04BCB">
        <w:t xml:space="preserve">index </w:t>
      </w:r>
      <w:r>
        <w:t>patient still excreting the virus</w:t>
      </w:r>
      <w:r w:rsidRPr="00B04BCB">
        <w:t xml:space="preserve"> 123 days </w:t>
      </w:r>
      <w:r>
        <w:t>after symptom onset. They also reported that</w:t>
      </w:r>
      <w:r w:rsidRPr="00B04BCB">
        <w:t xml:space="preserve"> three staff were likely infected from </w:t>
      </w:r>
      <w:r>
        <w:t>this patient</w:t>
      </w:r>
      <w:r w:rsidRPr="00B04BCB">
        <w:t xml:space="preserve"> 59 days after </w:t>
      </w:r>
      <w:r>
        <w:t>norovirus was</w:t>
      </w:r>
      <w:r w:rsidRPr="00B04BCB">
        <w:t xml:space="preserve"> first detected. There was </w:t>
      </w:r>
      <w:r>
        <w:t xml:space="preserve">also </w:t>
      </w:r>
      <w:r w:rsidRPr="00B04BCB">
        <w:t>at least one more long-term shedder</w:t>
      </w:r>
      <w:r>
        <w:t xml:space="preserve"> in this unit</w:t>
      </w:r>
      <w:r w:rsidRPr="00B04BCB">
        <w:t>.</w:t>
      </w:r>
    </w:p>
    <w:p w14:paraId="1CE6FA74" w14:textId="79F09ADD" w:rsidR="001663F7" w:rsidRDefault="001663F7" w:rsidP="00CF7116">
      <w:pPr>
        <w:spacing w:before="240" w:line="276" w:lineRule="auto"/>
        <w:rPr>
          <w:rFonts w:cstheme="minorHAnsi"/>
        </w:rPr>
      </w:pPr>
      <w:r w:rsidRPr="002404F9">
        <w:rPr>
          <w:rFonts w:cstheme="minorHAnsi"/>
        </w:rPr>
        <w:lastRenderedPageBreak/>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effectiveness of </w:t>
      </w:r>
      <w:r w:rsidRPr="00B04BCB">
        <w:rPr>
          <w:rFonts w:cstheme="minorHAnsi"/>
        </w:rPr>
        <w:t xml:space="preserve">follow-up testing to prevent transmission of norovirus during outbreaks </w:t>
      </w:r>
      <w:r>
        <w:rPr>
          <w:rFonts w:cstheme="minorHAnsi"/>
        </w:rPr>
        <w:t>outside health and care</w:t>
      </w:r>
      <w:r w:rsidRPr="00B04BCB">
        <w:rPr>
          <w:rFonts w:cstheme="minorHAnsi"/>
        </w:rPr>
        <w:t xml:space="preserve"> settings</w:t>
      </w:r>
      <w:r>
        <w:rPr>
          <w:rFonts w:cstheme="minorHAnsi"/>
        </w:rPr>
        <w:t xml:space="preserve">. </w:t>
      </w:r>
    </w:p>
    <w:p w14:paraId="6422E36B" w14:textId="62BA4174" w:rsidR="001663F7" w:rsidRDefault="001663F7"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cost effectiveness of </w:t>
      </w:r>
      <w:r w:rsidRPr="00B04BCB">
        <w:rPr>
          <w:rFonts w:cstheme="minorHAnsi"/>
        </w:rPr>
        <w:t xml:space="preserve">follow-up testing to prevent transmission of norovirus during outbreaks in </w:t>
      </w:r>
      <w:r>
        <w:rPr>
          <w:rFonts w:cstheme="minorHAnsi"/>
        </w:rPr>
        <w:t>any</w:t>
      </w:r>
      <w:r w:rsidRPr="00B04BCB">
        <w:rPr>
          <w:rFonts w:cstheme="minorHAnsi"/>
        </w:rPr>
        <w:t xml:space="preserve"> settings</w:t>
      </w:r>
      <w:r>
        <w:rPr>
          <w:rFonts w:cstheme="minorHAnsi"/>
        </w:rPr>
        <w:t xml:space="preserve">. </w:t>
      </w:r>
    </w:p>
    <w:p w14:paraId="297B7150" w14:textId="510D2393" w:rsidR="001663F7" w:rsidRDefault="001663F7"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number of asymptomatic patients who still </w:t>
      </w:r>
      <w:r w:rsidR="00962F76">
        <w:rPr>
          <w:rFonts w:cstheme="minorHAnsi"/>
        </w:rPr>
        <w:t>test</w:t>
      </w:r>
      <w:r>
        <w:rPr>
          <w:rFonts w:cstheme="minorHAnsi"/>
        </w:rPr>
        <w:t xml:space="preserve">ed positive for norovirus at follow-up testing. </w:t>
      </w:r>
    </w:p>
    <w:p w14:paraId="7FB6E40C" w14:textId="45C85AE2" w:rsidR="001663F7" w:rsidRDefault="001663F7"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viral load of patients at follow-up testing. </w:t>
      </w:r>
    </w:p>
    <w:p w14:paraId="32536ED0" w14:textId="6BF8F178" w:rsidR="009A031D" w:rsidRPr="009A031D" w:rsidRDefault="0032121B" w:rsidP="00CF7116">
      <w:pPr>
        <w:spacing w:before="240" w:line="276" w:lineRule="auto"/>
        <w:rPr>
          <w:rFonts w:cstheme="minorHAnsi"/>
          <w:i/>
          <w:iCs/>
        </w:rPr>
      </w:pPr>
      <w:r>
        <w:rPr>
          <w:rFonts w:cstheme="minorHAnsi"/>
          <w:i/>
          <w:iCs/>
        </w:rPr>
        <w:t xml:space="preserve">The Working Party concluded that there is currently no evidence to support routine </w:t>
      </w:r>
      <w:r w:rsidR="009A031D" w:rsidRPr="009A031D">
        <w:rPr>
          <w:rFonts w:cstheme="minorHAnsi"/>
          <w:i/>
          <w:iCs/>
        </w:rPr>
        <w:t>follow</w:t>
      </w:r>
      <w:r>
        <w:rPr>
          <w:rFonts w:cstheme="minorHAnsi"/>
          <w:i/>
          <w:iCs/>
        </w:rPr>
        <w:t>-</w:t>
      </w:r>
      <w:r w:rsidR="009A031D" w:rsidRPr="009A031D">
        <w:rPr>
          <w:rFonts w:cstheme="minorHAnsi"/>
          <w:i/>
          <w:iCs/>
        </w:rPr>
        <w:t xml:space="preserve">up </w:t>
      </w:r>
      <w:r>
        <w:rPr>
          <w:rFonts w:cstheme="minorHAnsi"/>
          <w:i/>
          <w:iCs/>
        </w:rPr>
        <w:t>testing. Most of the infected cases experience spontaneous symptom resolution within a day or two and the infectious period for most individuals does not last longer than 48 hours after the symptom resolution. There is a possibility that molecular testing could detect an inactive norovirus being shed after this period therefore follow-up testing is likely to yield false-positive results. Follow-up testing would therefore not be beneficial for most of the individuals infected by norovirus. The Working P</w:t>
      </w:r>
      <w:r w:rsidR="009A031D" w:rsidRPr="009A031D">
        <w:rPr>
          <w:rFonts w:cstheme="minorHAnsi"/>
          <w:i/>
          <w:iCs/>
        </w:rPr>
        <w:t>arty agreed that there may be circumstances when this may be beneficial e.g. when chronic infection is suspected.</w:t>
      </w:r>
      <w:r>
        <w:rPr>
          <w:rFonts w:cstheme="minorHAnsi"/>
          <w:i/>
          <w:iCs/>
        </w:rPr>
        <w:t xml:space="preserve"> The decision whether follow-up testing would be beneficial to establish chronic infection, needs to be made based on individual risk factors (e.g. immunocompromised patients) and the benefit that the knowledge of patient status would offer (e.g. the risk of transmission to others). </w:t>
      </w:r>
    </w:p>
    <w:p w14:paraId="4ED8D8DE" w14:textId="77777777" w:rsidR="001663F7" w:rsidRPr="0032121B" w:rsidRDefault="001663F7" w:rsidP="00CF7116">
      <w:pPr>
        <w:spacing w:line="276" w:lineRule="auto"/>
        <w:rPr>
          <w:b/>
          <w:bCs/>
        </w:rPr>
      </w:pPr>
      <w:r w:rsidRPr="0032121B">
        <w:rPr>
          <w:b/>
          <w:bCs/>
        </w:rPr>
        <w:t>Recommendations:</w:t>
      </w:r>
    </w:p>
    <w:p w14:paraId="7004A6D2" w14:textId="4E1C6C6A" w:rsidR="001663F7" w:rsidRPr="009A031D" w:rsidRDefault="0032121B" w:rsidP="00CF7116">
      <w:pPr>
        <w:spacing w:before="240" w:line="276" w:lineRule="auto"/>
      </w:pPr>
      <w:r w:rsidRPr="0032121B">
        <w:rPr>
          <w:b/>
          <w:bCs/>
        </w:rPr>
        <w:t>8.1:</w:t>
      </w:r>
      <w:r>
        <w:t xml:space="preserve"> </w:t>
      </w:r>
      <w:r w:rsidR="009A031D" w:rsidRPr="009A031D">
        <w:t>No recommendation</w:t>
      </w:r>
    </w:p>
    <w:p w14:paraId="7D80C5E3" w14:textId="77777777" w:rsidR="001663F7" w:rsidRPr="0032121B" w:rsidRDefault="001663F7" w:rsidP="00CF7116">
      <w:pPr>
        <w:spacing w:line="276" w:lineRule="auto"/>
        <w:rPr>
          <w:b/>
          <w:bCs/>
        </w:rPr>
      </w:pPr>
      <w:r w:rsidRPr="0032121B">
        <w:rPr>
          <w:b/>
          <w:bCs/>
        </w:rPr>
        <w:t>Good practice points:</w:t>
      </w:r>
    </w:p>
    <w:p w14:paraId="5034A28E" w14:textId="66DDD055" w:rsidR="001663F7" w:rsidRDefault="0032121B" w:rsidP="00CF7116">
      <w:pPr>
        <w:spacing w:before="240" w:line="276" w:lineRule="auto"/>
      </w:pPr>
      <w:r w:rsidRPr="0032121B">
        <w:rPr>
          <w:b/>
          <w:bCs/>
        </w:rPr>
        <w:t>GPP</w:t>
      </w:r>
      <w:r w:rsidR="00953810">
        <w:rPr>
          <w:b/>
          <w:bCs/>
        </w:rPr>
        <w:t xml:space="preserve"> </w:t>
      </w:r>
      <w:r w:rsidRPr="0032121B">
        <w:rPr>
          <w:b/>
          <w:bCs/>
        </w:rPr>
        <w:t>8</w:t>
      </w:r>
      <w:r>
        <w:rPr>
          <w:b/>
          <w:bCs/>
        </w:rPr>
        <w:t>.</w:t>
      </w:r>
      <w:r w:rsidRPr="0032121B">
        <w:rPr>
          <w:b/>
          <w:bCs/>
        </w:rPr>
        <w:t>1:</w:t>
      </w:r>
      <w:r>
        <w:t xml:space="preserve"> Do not offer routine follow-up testing for norovirus. </w:t>
      </w:r>
    </w:p>
    <w:p w14:paraId="2A23A724" w14:textId="668E2F42" w:rsidR="0032121B" w:rsidRPr="0032121B" w:rsidRDefault="0032121B" w:rsidP="00CF7116">
      <w:pPr>
        <w:spacing w:before="240" w:line="276" w:lineRule="auto"/>
        <w:rPr>
          <w:b/>
          <w:bCs/>
        </w:rPr>
      </w:pPr>
      <w:r w:rsidRPr="0032121B">
        <w:rPr>
          <w:b/>
          <w:bCs/>
        </w:rPr>
        <w:t>GPP</w:t>
      </w:r>
      <w:r w:rsidR="00953810">
        <w:rPr>
          <w:b/>
          <w:bCs/>
        </w:rPr>
        <w:t xml:space="preserve"> </w:t>
      </w:r>
      <w:r w:rsidRPr="0032121B">
        <w:rPr>
          <w:b/>
          <w:bCs/>
        </w:rPr>
        <w:t xml:space="preserve">8.2: </w:t>
      </w:r>
      <w:r w:rsidRPr="0032121B">
        <w:t xml:space="preserve">Consider </w:t>
      </w:r>
      <w:r>
        <w:t xml:space="preserve">follow-up testing if there is a suspicion that the individual may be chronically infected with norovirus. </w:t>
      </w:r>
    </w:p>
    <w:p w14:paraId="74D4A0E2" w14:textId="77777777" w:rsidR="001663F7" w:rsidRDefault="001663F7" w:rsidP="00CF7116">
      <w:pPr>
        <w:spacing w:before="240" w:line="276" w:lineRule="auto"/>
      </w:pPr>
    </w:p>
    <w:p w14:paraId="2AF5A46C" w14:textId="3FF29275" w:rsidR="00E758C0" w:rsidRDefault="00E758C0" w:rsidP="00CF7116">
      <w:pPr>
        <w:pStyle w:val="Heading2"/>
        <w:spacing w:before="240" w:after="160" w:line="276" w:lineRule="auto"/>
      </w:pPr>
      <w:r>
        <w:t>8.9</w:t>
      </w:r>
      <w:r w:rsidRPr="00E758C0">
        <w:tab/>
        <w:t>What is the cost effectiveness of using different types of testing for screening/diagnosing norovirus infection?</w:t>
      </w:r>
    </w:p>
    <w:p w14:paraId="57E96958" w14:textId="314FF230" w:rsidR="00E758C0" w:rsidRDefault="00E758C0" w:rsidP="00CF7116">
      <w:pPr>
        <w:spacing w:before="240" w:line="276" w:lineRule="auto"/>
      </w:pPr>
      <w:r>
        <w:t xml:space="preserve">There are several </w:t>
      </w:r>
      <w:r w:rsidR="0088401E">
        <w:t>technologies</w:t>
      </w:r>
      <w:r>
        <w:t xml:space="preserve"> available for screening</w:t>
      </w:r>
      <w:r w:rsidR="0088401E">
        <w:t xml:space="preserve"> and </w:t>
      </w:r>
      <w:r>
        <w:t>diagnosis</w:t>
      </w:r>
      <w:r w:rsidR="0088401E">
        <w:t xml:space="preserve"> of norovirus infections</w:t>
      </w:r>
      <w:r>
        <w:t xml:space="preserve">, which vary in sensitivity, specificity and cost. The most commonly available options for </w:t>
      </w:r>
      <w:r w:rsidR="0088401E">
        <w:t>n</w:t>
      </w:r>
      <w:r>
        <w:t>orovirus testing include molecular test</w:t>
      </w:r>
      <w:r w:rsidR="0088401E">
        <w:t>s</w:t>
      </w:r>
      <w:r>
        <w:t xml:space="preserve"> (</w:t>
      </w:r>
      <w:r w:rsidR="0088401E">
        <w:t xml:space="preserve">nucleic acid amplification tests (NAAT) such as </w:t>
      </w:r>
      <w:r w:rsidR="00E2003E">
        <w:t>PCR</w:t>
      </w:r>
      <w:r w:rsidR="0088401E">
        <w:t xml:space="preserve"> tests)</w:t>
      </w:r>
      <w:r>
        <w:t xml:space="preserve"> or EIA. There are also multiplex platforms available which test for other pathogens causing infectious diarrhoea. The cost of testing not only comes from running the assay</w:t>
      </w:r>
      <w:r w:rsidR="00161B15">
        <w:t>s</w:t>
      </w:r>
      <w:r>
        <w:t xml:space="preserve"> themselves but also of the time of laboratory technicians. Additionally, if not available on site</w:t>
      </w:r>
      <w:r w:rsidR="00161B15">
        <w:t>,</w:t>
      </w:r>
      <w:r>
        <w:t xml:space="preserve"> there may be additional cost of storage and transportation.</w:t>
      </w:r>
      <w:r w:rsidR="0088401E">
        <w:t xml:space="preserve"> </w:t>
      </w:r>
      <w:r>
        <w:t xml:space="preserve">Molecular assays are more expensive than EIAs, however they </w:t>
      </w:r>
      <w:r w:rsidR="0088401E">
        <w:t xml:space="preserve">usually </w:t>
      </w:r>
      <w:r>
        <w:t xml:space="preserve">offer greater </w:t>
      </w:r>
      <w:r w:rsidR="0088401E">
        <w:t>diagnostic accuracy</w:t>
      </w:r>
      <w:r>
        <w:t xml:space="preserve"> than EIAs. </w:t>
      </w:r>
      <w:r w:rsidR="0088401E">
        <w:t xml:space="preserve">At the moment, it is not clear whether EIAs and other tests can be used reliably to detect norovirus infection and whether they can offer </w:t>
      </w:r>
      <w:r w:rsidR="0088401E" w:rsidRPr="0088401E">
        <w:t>a</w:t>
      </w:r>
      <w:r w:rsidR="0088401E">
        <w:t>ny</w:t>
      </w:r>
      <w:r w:rsidR="0088401E" w:rsidRPr="0088401E">
        <w:t xml:space="preserve"> cost saving and whether </w:t>
      </w:r>
      <w:r w:rsidR="0088401E" w:rsidRPr="0088401E">
        <w:lastRenderedPageBreak/>
        <w:t>this benefit overweighs potential risk associated with obtaining false negative results</w:t>
      </w:r>
      <w:r w:rsidRPr="0088401E">
        <w:t>.</w:t>
      </w:r>
      <w:r w:rsidR="0088401E">
        <w:t xml:space="preserve"> Previous UK guidelines</w:t>
      </w:r>
      <w:r w:rsidR="00AC0F9C" w:rsidRPr="00AC0F9C">
        <w:rPr>
          <w:vertAlign w:val="superscript"/>
        </w:rPr>
        <w:t>1</w:t>
      </w:r>
      <w:r w:rsidR="0088401E">
        <w:t xml:space="preserve"> mentioned PCR and EIA testing but did not make any specific recommendations about which one should be used. </w:t>
      </w:r>
    </w:p>
    <w:p w14:paraId="45303D7A" w14:textId="2705FDAC" w:rsidR="008B6FC2" w:rsidRPr="00FD0C1D" w:rsidRDefault="008B6FC2" w:rsidP="00CF7116">
      <w:pPr>
        <w:pStyle w:val="Heading3"/>
        <w:spacing w:before="240" w:after="160" w:line="276" w:lineRule="auto"/>
      </w:pPr>
      <w:r>
        <w:t>Enzyme immunoassay</w:t>
      </w:r>
      <w:r w:rsidR="00E2003E">
        <w:t xml:space="preserve"> (EIA)</w:t>
      </w:r>
    </w:p>
    <w:p w14:paraId="66B342C4" w14:textId="1B6DA8D6" w:rsidR="008B6FC2" w:rsidRDefault="008B6FC2" w:rsidP="00CF7116">
      <w:pPr>
        <w:spacing w:before="240" w:line="276" w:lineRule="auto"/>
      </w:pPr>
      <w:r w:rsidRPr="0095272F">
        <w:t xml:space="preserve">There was </w:t>
      </w:r>
      <w:r w:rsidRPr="00FE349B">
        <w:t>moderate evidence</w:t>
      </w:r>
      <w:r>
        <w:t xml:space="preserve"> from the meta-analysis of seven studies</w:t>
      </w:r>
      <w:r w:rsidR="00A60366">
        <w:rPr>
          <w:vertAlign w:val="superscript"/>
        </w:rPr>
        <w:t>63-69</w:t>
      </w:r>
      <w:r>
        <w:t xml:space="preserve"> and one additional study which did not provide data suitable for meta-analysis,</w:t>
      </w:r>
      <w:r w:rsidR="00A60366">
        <w:rPr>
          <w:vertAlign w:val="superscript"/>
        </w:rPr>
        <w:t>70</w:t>
      </w:r>
      <w:r>
        <w:t xml:space="preserve"> which assessed the diagnostic accuracy of EIA vs PCR-based assays for </w:t>
      </w:r>
      <w:r w:rsidR="00EA6303">
        <w:t>testing</w:t>
      </w:r>
      <w:r>
        <w:t xml:space="preserve"> patients with symptoms suggesting norovirus infection. Overall, meta-analysis showed that the sensitivity of these assays was poor, ranging from 0.26 [CI95% 0.10-0.48] in one study which used </w:t>
      </w:r>
      <w:r w:rsidRPr="006C6AEC">
        <w:t>IDEIA NLV</w:t>
      </w:r>
      <w:r>
        <w:t xml:space="preserve"> assay</w:t>
      </w:r>
      <w:r w:rsidR="00A60366">
        <w:rPr>
          <w:vertAlign w:val="superscript"/>
        </w:rPr>
        <w:t>63</w:t>
      </w:r>
      <w:r>
        <w:t xml:space="preserve"> to 0.90 [CI 95% 0.83-0.95] in study which used Denka EIA.</w:t>
      </w:r>
      <w:r w:rsidR="00A60366">
        <w:rPr>
          <w:vertAlign w:val="superscript"/>
        </w:rPr>
        <w:t>70</w:t>
      </w:r>
      <w:r>
        <w:t xml:space="preserve"> This was the only study which achieved </w:t>
      </w:r>
      <w:r w:rsidR="00161B15">
        <w:t>a</w:t>
      </w:r>
      <w:r>
        <w:t xml:space="preserve"> sensitivity of 0.90 of more, which in general is accepted as an indicator o</w:t>
      </w:r>
      <w:r w:rsidR="00FE349B">
        <w:t>f</w:t>
      </w:r>
      <w:r>
        <w:t xml:space="preserve"> good diagnostic performance. Overall, specificity of these tests was acceptable, ranging from 0.94 [CI95% 0.89-0.97] in </w:t>
      </w:r>
      <w:r w:rsidR="00FE349B">
        <w:t xml:space="preserve">a </w:t>
      </w:r>
      <w:r>
        <w:t>study which used IDEIA NV</w:t>
      </w:r>
      <w:r w:rsidRPr="006C6AEC">
        <w:rPr>
          <w:vertAlign w:val="superscript"/>
        </w:rPr>
        <w:t>7</w:t>
      </w:r>
      <w:r>
        <w:t xml:space="preserve"> assay to 1.0 for three studies that used IDEIA NLV [CI95% 0.81-1.00],</w:t>
      </w:r>
      <w:r w:rsidR="00A60366">
        <w:rPr>
          <w:vertAlign w:val="superscript"/>
        </w:rPr>
        <w:t>63</w:t>
      </w:r>
      <w:r>
        <w:t xml:space="preserve"> </w:t>
      </w:r>
      <w:r w:rsidR="00161B15">
        <w:t>an un</w:t>
      </w:r>
      <w:r>
        <w:t>specified EIA assay [CI95% 0.92-1.00],</w:t>
      </w:r>
      <w:r w:rsidR="00A60366">
        <w:rPr>
          <w:vertAlign w:val="superscript"/>
        </w:rPr>
        <w:t>64</w:t>
      </w:r>
      <w:r>
        <w:t xml:space="preserve"> and IDEIA NVL [CI95% 0.75-1.00].</w:t>
      </w:r>
      <w:r w:rsidR="00A60366">
        <w:rPr>
          <w:vertAlign w:val="superscript"/>
        </w:rPr>
        <w:t>67</w:t>
      </w:r>
      <w:r>
        <w:t xml:space="preserve"> The study which did not meet the criteria for the meta-analysis</w:t>
      </w:r>
      <w:r w:rsidR="00A60366">
        <w:rPr>
          <w:vertAlign w:val="superscript"/>
        </w:rPr>
        <w:t>70</w:t>
      </w:r>
      <w:r>
        <w:t xml:space="preserve"> (did not provide data on positive and negative values) reported similar poor sensitivities of two different assays that were used (0.77 for IDEIA NV and 0.59 </w:t>
      </w:r>
      <w:proofErr w:type="spellStart"/>
      <w:r>
        <w:t>Ridascreen</w:t>
      </w:r>
      <w:proofErr w:type="spellEnd"/>
      <w:r>
        <w:t>, [CI95% not reported])</w:t>
      </w:r>
      <w:r w:rsidR="00161B15">
        <w:t xml:space="preserve"> and</w:t>
      </w:r>
      <w:r>
        <w:t xml:space="preserve">, they reported low specificities of these assays (0.86 for IDEIA NV and 0.73 for </w:t>
      </w:r>
      <w:proofErr w:type="spellStart"/>
      <w:r>
        <w:t>Ridascreen</w:t>
      </w:r>
      <w:proofErr w:type="spellEnd"/>
      <w:r>
        <w:t xml:space="preserve"> </w:t>
      </w:r>
      <w:r w:rsidRPr="006C6AEC">
        <w:t>[CI95% not reported])</w:t>
      </w:r>
      <w:r>
        <w:t>. Additional data important for diagnostic accuracy of these assays were reported by two studies</w:t>
      </w:r>
      <w:r w:rsidR="00A60366">
        <w:rPr>
          <w:vertAlign w:val="superscript"/>
        </w:rPr>
        <w:t>71,72</w:t>
      </w:r>
      <w:r>
        <w:t xml:space="preserve"> describing pseudo-outbreaks in neonatal ICU</w:t>
      </w:r>
      <w:r w:rsidR="00FE349B">
        <w:t>s</w:t>
      </w:r>
      <w:r>
        <w:t>. Both studies reported a high rate of false-positive results (</w:t>
      </w:r>
      <w:r w:rsidRPr="006C6AEC">
        <w:t>25/37 (68%)</w:t>
      </w:r>
      <w:r>
        <w:t xml:space="preserve"> for </w:t>
      </w:r>
      <w:r w:rsidR="00FE349B">
        <w:t>an un</w:t>
      </w:r>
      <w:r>
        <w:t>specified EIA</w:t>
      </w:r>
      <w:r w:rsidR="00A60366">
        <w:rPr>
          <w:vertAlign w:val="superscript"/>
        </w:rPr>
        <w:t>71</w:t>
      </w:r>
      <w:r>
        <w:t xml:space="preserve"> and </w:t>
      </w:r>
      <w:r w:rsidRPr="006C6AEC">
        <w:t>22/43 (51%)</w:t>
      </w:r>
      <w:r>
        <w:t xml:space="preserve"> for IDEA NLV EIA</w:t>
      </w:r>
      <w:r w:rsidR="00A60366">
        <w:rPr>
          <w:vertAlign w:val="superscript"/>
        </w:rPr>
        <w:t>72</w:t>
      </w:r>
      <w:r>
        <w:t>)</w:t>
      </w:r>
      <w:r w:rsidRPr="006C6AEC">
        <w:t xml:space="preserve"> </w:t>
      </w:r>
      <w:r>
        <w:t xml:space="preserve">when premature neonates with diarrhoea were </w:t>
      </w:r>
      <w:r w:rsidR="00962F76">
        <w:t>test</w:t>
      </w:r>
      <w:r>
        <w:t xml:space="preserve">ed for Norovirus with all PCR tests returning negative. The authors in both studies concluded that these assays may not be suitable for neonates, especially those born prematurely. </w:t>
      </w:r>
    </w:p>
    <w:p w14:paraId="78E0814F" w14:textId="10286437" w:rsidR="008B6FC2" w:rsidRDefault="008B6FC2" w:rsidP="00CF7116">
      <w:pPr>
        <w:spacing w:before="240" w:line="276" w:lineRule="auto"/>
        <w:rPr>
          <w:rFonts w:cstheme="minorHAnsi"/>
        </w:rPr>
      </w:pPr>
      <w:r w:rsidRPr="002404F9">
        <w:rPr>
          <w:rFonts w:cstheme="minorHAnsi"/>
        </w:rPr>
        <w:t xml:space="preserve">No studies were found in the existing literature </w:t>
      </w:r>
      <w:r w:rsidR="00FE349B">
        <w:rPr>
          <w:rFonts w:cstheme="minorHAnsi"/>
        </w:rPr>
        <w:t>that</w:t>
      </w:r>
      <w:r w:rsidRPr="002404F9">
        <w:rPr>
          <w:rFonts w:cstheme="minorHAnsi"/>
        </w:rPr>
        <w:t xml:space="preserve"> assessed the </w:t>
      </w:r>
      <w:r>
        <w:rPr>
          <w:rFonts w:cstheme="minorHAnsi"/>
        </w:rPr>
        <w:t xml:space="preserve">clinical or cost effectiveness of using </w:t>
      </w:r>
      <w:r w:rsidR="00E2003E">
        <w:rPr>
          <w:rFonts w:cstheme="minorHAnsi"/>
        </w:rPr>
        <w:t>EIA</w:t>
      </w:r>
      <w:r>
        <w:rPr>
          <w:rFonts w:cstheme="minorHAnsi"/>
        </w:rPr>
        <w:t xml:space="preserve"> vs PCR-based test for </w:t>
      </w:r>
      <w:r w:rsidR="00EA6303">
        <w:rPr>
          <w:rFonts w:cstheme="minorHAnsi"/>
        </w:rPr>
        <w:t>testing</w:t>
      </w:r>
      <w:r>
        <w:rPr>
          <w:rFonts w:cstheme="minorHAnsi"/>
        </w:rPr>
        <w:t xml:space="preserve"> patients with symptoms suggesting norovirus infection.</w:t>
      </w:r>
    </w:p>
    <w:p w14:paraId="57CDA4B1" w14:textId="1C46D557" w:rsidR="008B6FC2" w:rsidRDefault="008B6FC2" w:rsidP="00CF7116">
      <w:pPr>
        <w:spacing w:before="240" w:line="276" w:lineRule="auto"/>
        <w:rPr>
          <w:rFonts w:cstheme="minorHAnsi"/>
        </w:rPr>
      </w:pPr>
      <w:r w:rsidRPr="002404F9">
        <w:rPr>
          <w:rFonts w:cstheme="minorHAnsi"/>
        </w:rPr>
        <w:t>No studies were found in the existing literature</w:t>
      </w:r>
      <w:r w:rsidR="00FE349B">
        <w:rPr>
          <w:rFonts w:cstheme="minorHAnsi"/>
        </w:rPr>
        <w:t xml:space="preserve"> that</w:t>
      </w:r>
      <w:r w:rsidRPr="002404F9">
        <w:rPr>
          <w:rFonts w:cstheme="minorHAnsi"/>
        </w:rPr>
        <w:t xml:space="preserve"> assessed the </w:t>
      </w:r>
      <w:r>
        <w:rPr>
          <w:rFonts w:cstheme="minorHAnsi"/>
        </w:rPr>
        <w:t xml:space="preserve">turn-around-time for </w:t>
      </w:r>
      <w:r w:rsidR="00E2003E">
        <w:rPr>
          <w:rFonts w:cstheme="minorHAnsi"/>
        </w:rPr>
        <w:t>EIA</w:t>
      </w:r>
      <w:r>
        <w:rPr>
          <w:rFonts w:cstheme="minorHAnsi"/>
        </w:rPr>
        <w:t xml:space="preserve"> vs PCR-based test for </w:t>
      </w:r>
      <w:r w:rsidR="00962F76">
        <w:rPr>
          <w:rFonts w:cstheme="minorHAnsi"/>
        </w:rPr>
        <w:t>test</w:t>
      </w:r>
      <w:r>
        <w:rPr>
          <w:rFonts w:cstheme="minorHAnsi"/>
        </w:rPr>
        <w:t>ing patients with symptoms suggesting norovirus infection.</w:t>
      </w:r>
    </w:p>
    <w:p w14:paraId="0733F0D9" w14:textId="189D9B18" w:rsidR="008B6FC2" w:rsidRDefault="008B6FC2" w:rsidP="00CF7116">
      <w:pPr>
        <w:pStyle w:val="Heading3"/>
        <w:spacing w:before="240" w:after="160" w:line="276" w:lineRule="auto"/>
      </w:pPr>
      <w:r>
        <w:t>I</w:t>
      </w:r>
      <w:r w:rsidRPr="009D185C">
        <w:t xml:space="preserve">mmunochromatography assays </w:t>
      </w:r>
      <w:r w:rsidR="00E2003E">
        <w:t>(ICA)</w:t>
      </w:r>
    </w:p>
    <w:p w14:paraId="6EAB6070" w14:textId="2FE899AA" w:rsidR="008B6FC2" w:rsidRDefault="008B6FC2" w:rsidP="00CF7116">
      <w:pPr>
        <w:spacing w:before="240" w:line="276" w:lineRule="auto"/>
      </w:pPr>
      <w:r w:rsidRPr="0095272F">
        <w:t>There was</w:t>
      </w:r>
      <w:r w:rsidRPr="00FE349B">
        <w:t xml:space="preserve"> moderate</w:t>
      </w:r>
      <w:r w:rsidRPr="00B15BBD">
        <w:t xml:space="preserve"> evidence</w:t>
      </w:r>
      <w:r>
        <w:t xml:space="preserve"> from the meta-analysis of eleven studies</w:t>
      </w:r>
      <w:r w:rsidR="00A60366" w:rsidRPr="00A60366">
        <w:rPr>
          <w:vertAlign w:val="superscript"/>
        </w:rPr>
        <w:t>65,68,69,73-80</w:t>
      </w:r>
      <w:r>
        <w:t xml:space="preserve"> and three additional studies which did not provide data suitable for meta-analysis,</w:t>
      </w:r>
      <w:r w:rsidR="00A60366">
        <w:rPr>
          <w:vertAlign w:val="superscript"/>
        </w:rPr>
        <w:t>81-83</w:t>
      </w:r>
      <w:r>
        <w:t xml:space="preserve"> which assessed the diagnostic accuracy of ICA vs PCR-based assays for </w:t>
      </w:r>
      <w:r w:rsidR="00962F76">
        <w:t>test</w:t>
      </w:r>
      <w:r>
        <w:t xml:space="preserve">ing patients with symptoms suggesting norovirus infection. Overall, meta-analysis showed that the sensitivity of these assays was poor, </w:t>
      </w:r>
      <w:r w:rsidR="00FE349B">
        <w:t>with the lowest reported as</w:t>
      </w:r>
      <w:r>
        <w:t xml:space="preserve"> 0.57 [CI95% 0.47-0.67] in one study which used </w:t>
      </w:r>
      <w:proofErr w:type="spellStart"/>
      <w:r w:rsidRPr="009D185C">
        <w:t>RidaQuick</w:t>
      </w:r>
      <w:proofErr w:type="spellEnd"/>
      <w:r w:rsidRPr="009D185C">
        <w:t xml:space="preserve"> Norovirus ICA </w:t>
      </w:r>
      <w:r>
        <w:t>assay.</w:t>
      </w:r>
      <w:r w:rsidR="00A60366">
        <w:rPr>
          <w:vertAlign w:val="superscript"/>
        </w:rPr>
        <w:t>73</w:t>
      </w:r>
      <w:r>
        <w:t xml:space="preserve"> Two studies reported </w:t>
      </w:r>
      <w:r w:rsidR="00FE349B">
        <w:t xml:space="preserve">a </w:t>
      </w:r>
      <w:r>
        <w:t xml:space="preserve">sensitivity of at least 0.90 with the use of </w:t>
      </w:r>
      <w:r w:rsidRPr="009D185C">
        <w:t>Quick-Navi ICA</w:t>
      </w:r>
      <w:r>
        <w:t xml:space="preserve"> (0.90 [CI95% 0.74-0.98]),</w:t>
      </w:r>
      <w:r w:rsidR="00A60366">
        <w:rPr>
          <w:vertAlign w:val="superscript"/>
        </w:rPr>
        <w:t>79</w:t>
      </w:r>
      <w:r w:rsidRPr="009D185C">
        <w:t xml:space="preserve"> </w:t>
      </w:r>
      <w:r>
        <w:t xml:space="preserve">and </w:t>
      </w:r>
      <w:proofErr w:type="spellStart"/>
      <w:r w:rsidRPr="009D185C">
        <w:t>CerTest</w:t>
      </w:r>
      <w:proofErr w:type="spellEnd"/>
      <w:r w:rsidRPr="009D185C">
        <w:t xml:space="preserve"> Norovirus ICA</w:t>
      </w:r>
      <w:r>
        <w:t xml:space="preserve"> (1.00 [CI95% 0.69-1.00]),</w:t>
      </w:r>
      <w:r w:rsidR="00A60366">
        <w:rPr>
          <w:vertAlign w:val="superscript"/>
        </w:rPr>
        <w:t>74</w:t>
      </w:r>
      <w:r w:rsidRPr="009D185C">
        <w:t xml:space="preserve"> </w:t>
      </w:r>
      <w:r>
        <w:t>although the second study only used 24 samples of which</w:t>
      </w:r>
      <w:r w:rsidR="001128A6">
        <w:t xml:space="preserve"> ten </w:t>
      </w:r>
      <w:r>
        <w:t xml:space="preserve">(42%) were positive. Overall, </w:t>
      </w:r>
      <w:r w:rsidR="00FE349B">
        <w:t xml:space="preserve">the </w:t>
      </w:r>
      <w:r>
        <w:t xml:space="preserve">specificity of these tests was acceptable (over 0.90), however, the two studies which reported high sensitivity were also the only two studies which reported specificity to be below 0.90 (0.43 [CI95% 0.30-0.56] for </w:t>
      </w:r>
      <w:r w:rsidRPr="009D185C">
        <w:t>Quick-Navi ICA</w:t>
      </w:r>
      <w:r w:rsidR="00A60366">
        <w:rPr>
          <w:vertAlign w:val="superscript"/>
        </w:rPr>
        <w:t>79</w:t>
      </w:r>
      <w:r>
        <w:t xml:space="preserve"> and 0.86 [CI95% 0.57-0.98] </w:t>
      </w:r>
      <w:proofErr w:type="spellStart"/>
      <w:r w:rsidRPr="009D185C">
        <w:t>CerTest</w:t>
      </w:r>
      <w:proofErr w:type="spellEnd"/>
      <w:r w:rsidRPr="009D185C">
        <w:t xml:space="preserve"> Norovirus ICA</w:t>
      </w:r>
      <w:r w:rsidR="00A60366">
        <w:rPr>
          <w:vertAlign w:val="superscript"/>
        </w:rPr>
        <w:t>74</w:t>
      </w:r>
      <w:r>
        <w:t>).</w:t>
      </w:r>
      <w:r w:rsidR="000E41A6">
        <w:t xml:space="preserve"> </w:t>
      </w:r>
      <w:r>
        <w:t>The studies which did not meet the criteria for the meta-analysis</w:t>
      </w:r>
      <w:r w:rsidR="00A60366">
        <w:rPr>
          <w:vertAlign w:val="superscript"/>
        </w:rPr>
        <w:t>81-83</w:t>
      </w:r>
      <w:r>
        <w:t xml:space="preserve"> (did not provide data on positive and negative values) reported </w:t>
      </w:r>
      <w:r>
        <w:lastRenderedPageBreak/>
        <w:t xml:space="preserve">poor sensitivities of two assays (0.11 [CI95% 0.29-0.31] for </w:t>
      </w:r>
      <w:r w:rsidRPr="009D185C">
        <w:t>IP-Triple I ICA</w:t>
      </w:r>
      <w:r w:rsidR="00A60366">
        <w:rPr>
          <w:vertAlign w:val="superscript"/>
        </w:rPr>
        <w:t>81</w:t>
      </w:r>
      <w:r>
        <w:t xml:space="preserve"> and 0.28 [CI95% not reported] for </w:t>
      </w:r>
      <w:proofErr w:type="spellStart"/>
      <w:r w:rsidRPr="009D185C">
        <w:t>QuickNavi</w:t>
      </w:r>
      <w:proofErr w:type="spellEnd"/>
      <w:r w:rsidRPr="009D185C">
        <w:t xml:space="preserve"> NV2 ICA</w:t>
      </w:r>
      <w:r w:rsidR="00A60366">
        <w:rPr>
          <w:vertAlign w:val="superscript"/>
        </w:rPr>
        <w:t>83</w:t>
      </w:r>
      <w:r>
        <w:t xml:space="preserve">) and high sensitivity of </w:t>
      </w:r>
      <w:r w:rsidRPr="009D185C">
        <w:t xml:space="preserve">Immunoprobe </w:t>
      </w:r>
      <w:proofErr w:type="spellStart"/>
      <w:r w:rsidRPr="009D185C">
        <w:t>NoV</w:t>
      </w:r>
      <w:proofErr w:type="spellEnd"/>
      <w:r w:rsidRPr="009D185C">
        <w:t xml:space="preserve"> ICA</w:t>
      </w:r>
      <w:r w:rsidR="00A60366">
        <w:rPr>
          <w:vertAlign w:val="superscript"/>
        </w:rPr>
        <w:t>82</w:t>
      </w:r>
      <w:r>
        <w:t xml:space="preserve"> for norovirus GI (0.99 [CI95% not reported]) but not for GII (0.85 [CI95% not reported]). Specificities of these assays were above 0.90 for all except for </w:t>
      </w:r>
      <w:r w:rsidRPr="009D185C">
        <w:t xml:space="preserve">Immunoprobe </w:t>
      </w:r>
      <w:proofErr w:type="spellStart"/>
      <w:r w:rsidRPr="009D185C">
        <w:t>NoV</w:t>
      </w:r>
      <w:proofErr w:type="spellEnd"/>
      <w:r w:rsidRPr="009D185C">
        <w:t xml:space="preserve"> ICA</w:t>
      </w:r>
      <w:r w:rsidR="00A60366">
        <w:rPr>
          <w:vertAlign w:val="superscript"/>
        </w:rPr>
        <w:t>82</w:t>
      </w:r>
      <w:r>
        <w:t xml:space="preserve"> for detecting norovirus GII (0.87 [CI95% not reported]). Additional </w:t>
      </w:r>
      <w:r w:rsidR="00FE349B">
        <w:t>information</w:t>
      </w:r>
      <w:r>
        <w:t xml:space="preserve"> important for diagnostic accuracy of these assays w</w:t>
      </w:r>
      <w:r w:rsidR="00FE349B">
        <w:t>as</w:t>
      </w:r>
      <w:r>
        <w:t xml:space="preserve"> reported by one study</w:t>
      </w:r>
      <w:r w:rsidR="00A60366">
        <w:rPr>
          <w:vertAlign w:val="superscript"/>
        </w:rPr>
        <w:t>84</w:t>
      </w:r>
      <w:r>
        <w:t xml:space="preserve"> describing a pseudo-outbreak in </w:t>
      </w:r>
      <w:r w:rsidR="00FE349B">
        <w:t xml:space="preserve">a </w:t>
      </w:r>
      <w:r>
        <w:t xml:space="preserve">growing care unit for premature infants. The study reported that five babies with diarrhoea tested positive using </w:t>
      </w:r>
      <w:r w:rsidRPr="009D185C">
        <w:t>Immuno-Probe Noro ICA</w:t>
      </w:r>
      <w:r>
        <w:t xml:space="preserve"> (11/13 of samples) but none of these results were confirmed by PCR. The authors concluded that ICA tests were not suitable for norovirus </w:t>
      </w:r>
      <w:r w:rsidR="00962F76">
        <w:t>test</w:t>
      </w:r>
      <w:r>
        <w:t>ing in premature infants.</w:t>
      </w:r>
    </w:p>
    <w:p w14:paraId="3F9F9DF3" w14:textId="324A6EF5" w:rsidR="008B6FC2" w:rsidRDefault="008B6FC2"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or cost effectiveness of using </w:t>
      </w:r>
      <w:r w:rsidR="00E2003E">
        <w:rPr>
          <w:rFonts w:cstheme="minorHAnsi"/>
        </w:rPr>
        <w:t>ICA</w:t>
      </w:r>
      <w:r>
        <w:rPr>
          <w:rFonts w:cstheme="minorHAnsi"/>
        </w:rPr>
        <w:t xml:space="preserve"> vs PCR-based test for </w:t>
      </w:r>
      <w:r w:rsidR="00962F76">
        <w:rPr>
          <w:rFonts w:cstheme="minorHAnsi"/>
        </w:rPr>
        <w:t>test</w:t>
      </w:r>
      <w:r>
        <w:rPr>
          <w:rFonts w:cstheme="minorHAnsi"/>
        </w:rPr>
        <w:t xml:space="preserve">ing patients with symptoms suggesting norovirus infection. </w:t>
      </w:r>
    </w:p>
    <w:p w14:paraId="697B5774" w14:textId="0B39D8B3" w:rsidR="008B6FC2" w:rsidRDefault="008B6FC2"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turn-around-time for </w:t>
      </w:r>
      <w:r w:rsidR="00E2003E">
        <w:rPr>
          <w:rFonts w:cstheme="minorHAnsi"/>
        </w:rPr>
        <w:t>ICA</w:t>
      </w:r>
      <w:r>
        <w:rPr>
          <w:rFonts w:cstheme="minorHAnsi"/>
        </w:rPr>
        <w:t xml:space="preserve"> vs PCR-based test for </w:t>
      </w:r>
      <w:r w:rsidR="00962F76">
        <w:rPr>
          <w:rFonts w:cstheme="minorHAnsi"/>
        </w:rPr>
        <w:t>test</w:t>
      </w:r>
      <w:r>
        <w:rPr>
          <w:rFonts w:cstheme="minorHAnsi"/>
        </w:rPr>
        <w:t>ing patients with symptoms suggesting norovirus infection.</w:t>
      </w:r>
    </w:p>
    <w:p w14:paraId="40EA5457" w14:textId="77777777" w:rsidR="008B6FC2" w:rsidRDefault="008B6FC2" w:rsidP="00CF7116">
      <w:pPr>
        <w:pStyle w:val="Heading3"/>
        <w:spacing w:before="240" w:after="160" w:line="276" w:lineRule="auto"/>
      </w:pPr>
      <w:r>
        <w:t>Multiplex</w:t>
      </w:r>
      <w:r w:rsidRPr="009D185C">
        <w:t xml:space="preserve"> </w:t>
      </w:r>
      <w:r>
        <w:t xml:space="preserve">PCR </w:t>
      </w:r>
      <w:r w:rsidRPr="009D185C">
        <w:t xml:space="preserve">assays </w:t>
      </w:r>
    </w:p>
    <w:p w14:paraId="78B2692A" w14:textId="2098AC20" w:rsidR="008B6FC2" w:rsidRDefault="008B6FC2" w:rsidP="00CF7116">
      <w:pPr>
        <w:spacing w:before="240" w:line="276" w:lineRule="auto"/>
      </w:pPr>
      <w:r w:rsidRPr="0095272F">
        <w:t xml:space="preserve">There was </w:t>
      </w:r>
      <w:r w:rsidRPr="00FE349B">
        <w:t xml:space="preserve">weak </w:t>
      </w:r>
      <w:r w:rsidRPr="00B15BBD">
        <w:t>evidence</w:t>
      </w:r>
      <w:r>
        <w:t xml:space="preserve"> from </w:t>
      </w:r>
      <w:r w:rsidR="00FE349B">
        <w:t>a</w:t>
      </w:r>
      <w:r>
        <w:t xml:space="preserve"> meta-analysis of five studies</w:t>
      </w:r>
      <w:r w:rsidR="00A60366">
        <w:rPr>
          <w:vertAlign w:val="superscript"/>
        </w:rPr>
        <w:t>85-89</w:t>
      </w:r>
      <w:r>
        <w:t xml:space="preserve"> and one additional case series study</w:t>
      </w:r>
      <w:r w:rsidR="00A60366">
        <w:rPr>
          <w:vertAlign w:val="superscript"/>
        </w:rPr>
        <w:t>90</w:t>
      </w:r>
      <w:r>
        <w:t xml:space="preserve"> which did not provide data suitable for meta-analysis, which assessed the diagnostic accuracy of </w:t>
      </w:r>
      <w:r w:rsidRPr="00C75413">
        <w:t xml:space="preserve">multiplex PCR systems vs single PCR-based </w:t>
      </w:r>
      <w:r>
        <w:t xml:space="preserve">assays for </w:t>
      </w:r>
      <w:r w:rsidR="00962F76">
        <w:t>test</w:t>
      </w:r>
      <w:r>
        <w:t xml:space="preserve">ing patients with symptoms suggesting norovirus infection. The studies used </w:t>
      </w:r>
      <w:r w:rsidRPr="00C75413">
        <w:t>Luminex xMAP</w:t>
      </w:r>
      <w:r>
        <w:t>,</w:t>
      </w:r>
      <w:r w:rsidR="00A60366">
        <w:rPr>
          <w:vertAlign w:val="superscript"/>
        </w:rPr>
        <w:t>86,87</w:t>
      </w:r>
      <w:r>
        <w:t xml:space="preserve"> Luminex xTAG,</w:t>
      </w:r>
      <w:r w:rsidR="00A60366">
        <w:rPr>
          <w:vertAlign w:val="superscript"/>
        </w:rPr>
        <w:t>89,90</w:t>
      </w:r>
      <w:r>
        <w:t xml:space="preserve"> BD Max</w:t>
      </w:r>
      <w:r w:rsidR="00A60366">
        <w:rPr>
          <w:vertAlign w:val="superscript"/>
        </w:rPr>
        <w:t>88</w:t>
      </w:r>
      <w:r>
        <w:t xml:space="preserve"> or developed their own</w:t>
      </w:r>
      <w:r w:rsidR="00A60366">
        <w:rPr>
          <w:vertAlign w:val="superscript"/>
        </w:rPr>
        <w:t>85</w:t>
      </w:r>
      <w:r>
        <w:t xml:space="preserve"> multiplex systems. Overall, meta-analysis showed that the sensitivity was high, although two studies reported it to be below 0.90 (0.87 [CI95% 0.69-0.96] for </w:t>
      </w:r>
      <w:r w:rsidRPr="00C75413">
        <w:t>Luminex xMAP</w:t>
      </w:r>
      <w:r w:rsidRPr="00C75413">
        <w:rPr>
          <w:vertAlign w:val="superscript"/>
        </w:rPr>
        <w:t>24</w:t>
      </w:r>
      <w:r>
        <w:t xml:space="preserve"> and for authors’ own developed multiplex assay which was not sensitive for GI 0.75 [CI95% 0.35-0.97] but was highly sensitive for GII 0.94 [CI95% 0.90-0.97]</w:t>
      </w:r>
      <w:r w:rsidR="00A60366">
        <w:rPr>
          <w:vertAlign w:val="superscript"/>
        </w:rPr>
        <w:t>85</w:t>
      </w:r>
      <w:r w:rsidRPr="00C75413">
        <w:t>)</w:t>
      </w:r>
      <w:r>
        <w:t>. Specificities of all assays were very high, reaching at least 0.99. The study which did not meet the criteria for the meta-analysis</w:t>
      </w:r>
      <w:r w:rsidR="00A60366">
        <w:rPr>
          <w:vertAlign w:val="superscript"/>
        </w:rPr>
        <w:t>90</w:t>
      </w:r>
      <w:r w:rsidRPr="00C75413">
        <w:t xml:space="preserve"> </w:t>
      </w:r>
      <w:r>
        <w:t xml:space="preserve">(did not provide data on true/false positive and negative values) reported that more samples were identified to be positive for norovirus when </w:t>
      </w:r>
      <w:r w:rsidR="00FE349B">
        <w:t xml:space="preserve">a </w:t>
      </w:r>
      <w:r>
        <w:t>multiplex system was used (28/217, 12.9%) than with single PCR assay (15/217, 6.9%). The a</w:t>
      </w:r>
      <w:r w:rsidRPr="00C75413">
        <w:t xml:space="preserve">uthors reported that the reason </w:t>
      </w:r>
      <w:r>
        <w:t>that the</w:t>
      </w:r>
      <w:r w:rsidRPr="00C75413">
        <w:t xml:space="preserve"> multiplex </w:t>
      </w:r>
      <w:r>
        <w:t>system detected</w:t>
      </w:r>
      <w:r w:rsidRPr="00C75413">
        <w:t xml:space="preserve"> more pathogens was that </w:t>
      </w:r>
      <w:r>
        <w:t xml:space="preserve">in some cases </w:t>
      </w:r>
      <w:r w:rsidRPr="00C75413">
        <w:t xml:space="preserve">standard PCR </w:t>
      </w:r>
      <w:r>
        <w:t>did not detect multiple infections</w:t>
      </w:r>
      <w:r w:rsidR="00FE349B">
        <w:t>,</w:t>
      </w:r>
      <w:r w:rsidRPr="00C75413">
        <w:t xml:space="preserve"> </w:t>
      </w:r>
      <w:r>
        <w:t>and in some the diagnoses were</w:t>
      </w:r>
      <w:r w:rsidRPr="00C75413">
        <w:t xml:space="preserve"> missed because </w:t>
      </w:r>
      <w:r>
        <w:t>the</w:t>
      </w:r>
      <w:r w:rsidRPr="00C75413">
        <w:t xml:space="preserve"> physician</w:t>
      </w:r>
      <w:r>
        <w:t>s did</w:t>
      </w:r>
      <w:r w:rsidRPr="00C75413">
        <w:t xml:space="preserve"> not request </w:t>
      </w:r>
      <w:r>
        <w:t xml:space="preserve">the samples to be </w:t>
      </w:r>
      <w:r w:rsidRPr="00C75413">
        <w:t>test</w:t>
      </w:r>
      <w:r w:rsidR="00161B15">
        <w:t>ed</w:t>
      </w:r>
      <w:r w:rsidRPr="00C75413">
        <w:t xml:space="preserve"> for certain microorganism</w:t>
      </w:r>
      <w:r>
        <w:t xml:space="preserve">s. </w:t>
      </w:r>
    </w:p>
    <w:p w14:paraId="6F796F1C" w14:textId="3D2D406B" w:rsidR="008B6FC2" w:rsidRDefault="008B6FC2"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or cost effectiveness of using </w:t>
      </w:r>
      <w:bookmarkStart w:id="11" w:name="_Hlk106118029"/>
      <w:r>
        <w:rPr>
          <w:rFonts w:cstheme="minorHAnsi"/>
        </w:rPr>
        <w:t xml:space="preserve">multiplex PCR systems vs single PCR-based </w:t>
      </w:r>
      <w:bookmarkEnd w:id="11"/>
      <w:r>
        <w:rPr>
          <w:rFonts w:cstheme="minorHAnsi"/>
        </w:rPr>
        <w:t xml:space="preserve">test for </w:t>
      </w:r>
      <w:r w:rsidR="00962F76">
        <w:rPr>
          <w:rFonts w:cstheme="minorHAnsi"/>
        </w:rPr>
        <w:t>test</w:t>
      </w:r>
      <w:r>
        <w:rPr>
          <w:rFonts w:cstheme="minorHAnsi"/>
        </w:rPr>
        <w:t xml:space="preserve">ing patients with symptoms suggesting norovirus infection. </w:t>
      </w:r>
    </w:p>
    <w:p w14:paraId="20A872F2" w14:textId="6BC076E7" w:rsidR="008B6FC2" w:rsidRDefault="008B6FC2"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turn-around-time for </w:t>
      </w:r>
      <w:r w:rsidRPr="00C75413">
        <w:rPr>
          <w:rFonts w:cstheme="minorHAnsi"/>
        </w:rPr>
        <w:t xml:space="preserve">multiplex PCR systems vs single PCR-based </w:t>
      </w:r>
      <w:r>
        <w:rPr>
          <w:rFonts w:cstheme="minorHAnsi"/>
        </w:rPr>
        <w:t xml:space="preserve">test for </w:t>
      </w:r>
      <w:r w:rsidR="00962F76">
        <w:rPr>
          <w:rFonts w:cstheme="minorHAnsi"/>
        </w:rPr>
        <w:t>test</w:t>
      </w:r>
      <w:r>
        <w:rPr>
          <w:rFonts w:cstheme="minorHAnsi"/>
        </w:rPr>
        <w:t>ing patients with symptoms suggesting norovirus infection.</w:t>
      </w:r>
    </w:p>
    <w:p w14:paraId="794E656F" w14:textId="77777777" w:rsidR="008B6FC2" w:rsidRDefault="008B6FC2" w:rsidP="00CF7116">
      <w:pPr>
        <w:spacing w:before="240" w:line="276" w:lineRule="auto"/>
        <w:rPr>
          <w:rFonts w:cstheme="minorHAnsi"/>
        </w:rPr>
      </w:pPr>
    </w:p>
    <w:p w14:paraId="4F964404" w14:textId="7DB98C75" w:rsidR="008B6FC2" w:rsidRDefault="008B6FC2" w:rsidP="00CF7116">
      <w:pPr>
        <w:pStyle w:val="Heading3"/>
        <w:spacing w:before="240" w:after="160" w:line="276" w:lineRule="auto"/>
      </w:pPr>
      <w:r>
        <w:lastRenderedPageBreak/>
        <w:t>Point of Care</w:t>
      </w:r>
      <w:r w:rsidR="00E2003E">
        <w:t xml:space="preserve"> </w:t>
      </w:r>
      <w:r>
        <w:t xml:space="preserve">Testing </w:t>
      </w:r>
      <w:r w:rsidR="00E2003E">
        <w:t xml:space="preserve">(POCT) </w:t>
      </w:r>
      <w:r>
        <w:t xml:space="preserve">PCR </w:t>
      </w:r>
      <w:r w:rsidRPr="009D185C">
        <w:t xml:space="preserve">assays </w:t>
      </w:r>
    </w:p>
    <w:p w14:paraId="52BC2E7C" w14:textId="524E5319" w:rsidR="008B6FC2" w:rsidRDefault="008B6FC2" w:rsidP="00CF7116">
      <w:pPr>
        <w:spacing w:before="240" w:line="276" w:lineRule="auto"/>
      </w:pPr>
      <w:r w:rsidRPr="0095272F">
        <w:t xml:space="preserve">There was </w:t>
      </w:r>
      <w:r w:rsidRPr="00FE349B">
        <w:t xml:space="preserve">weak </w:t>
      </w:r>
      <w:r w:rsidRPr="00B15BBD">
        <w:t>evidence</w:t>
      </w:r>
      <w:r>
        <w:t xml:space="preserve"> from one study</w:t>
      </w:r>
      <w:r w:rsidR="00FE349B">
        <w:t>,</w:t>
      </w:r>
      <w:r w:rsidR="00A60366">
        <w:rPr>
          <w:vertAlign w:val="superscript"/>
        </w:rPr>
        <w:t>91</w:t>
      </w:r>
      <w:r>
        <w:t xml:space="preserve"> which assessed the diagnostic accuracy of </w:t>
      </w:r>
      <w:bookmarkStart w:id="12" w:name="_Hlk106119872"/>
      <w:r w:rsidR="00E2003E">
        <w:t>POCT</w:t>
      </w:r>
      <w:r>
        <w:t xml:space="preserve"> </w:t>
      </w:r>
      <w:r w:rsidRPr="00C75413">
        <w:t xml:space="preserve">PCR systems vs </w:t>
      </w:r>
      <w:r>
        <w:t>laboratory-based</w:t>
      </w:r>
      <w:r w:rsidRPr="00C75413">
        <w:t xml:space="preserve"> PCR </w:t>
      </w:r>
      <w:r>
        <w:t xml:space="preserve">assays </w:t>
      </w:r>
      <w:bookmarkEnd w:id="12"/>
      <w:r>
        <w:t xml:space="preserve">for </w:t>
      </w:r>
      <w:r w:rsidR="00962F76">
        <w:t>test</w:t>
      </w:r>
      <w:r>
        <w:t xml:space="preserve">ing patients with symptoms suggesting norovirus infection. The study used a </w:t>
      </w:r>
      <w:r w:rsidRPr="00C75413">
        <w:t>Cepheid GeneXpert NV</w:t>
      </w:r>
      <w:r>
        <w:t xml:space="preserve"> platform which was operated by nurses and healthcare assistants in hospital wards where samples were obtained. Compared </w:t>
      </w:r>
      <w:r w:rsidR="00161B15">
        <w:t>to a</w:t>
      </w:r>
      <w:r>
        <w:t xml:space="preserve"> standard PCR assay, the sensitivity of </w:t>
      </w:r>
      <w:r w:rsidR="00FE349B">
        <w:t xml:space="preserve">the </w:t>
      </w:r>
      <w:r>
        <w:t xml:space="preserve">system was 0.83 [CI95% 0.36-1.00] and </w:t>
      </w:r>
      <w:r w:rsidR="00FE349B">
        <w:t xml:space="preserve">the </w:t>
      </w:r>
      <w:r>
        <w:t xml:space="preserve">specificity was 0.99 [CI95% 0.95-1.00]. However, the authors reported </w:t>
      </w:r>
      <w:r w:rsidRPr="00C75413">
        <w:t xml:space="preserve">that from a total 225 there were </w:t>
      </w:r>
      <w:r w:rsidR="00FE349B">
        <w:t>four</w:t>
      </w:r>
      <w:r w:rsidRPr="00C75413">
        <w:t xml:space="preserve"> errors, </w:t>
      </w:r>
      <w:r w:rsidR="00FE349B">
        <w:t>two</w:t>
      </w:r>
      <w:r w:rsidRPr="00C75413">
        <w:t xml:space="preserve"> </w:t>
      </w:r>
      <w:r w:rsidR="00FE349B">
        <w:t>‘</w:t>
      </w:r>
      <w:r w:rsidRPr="00C75413">
        <w:t>no results</w:t>
      </w:r>
      <w:r w:rsidR="00FE349B">
        <w:t>’ and</w:t>
      </w:r>
      <w:r w:rsidRPr="00C75413">
        <w:t xml:space="preserve"> 34 </w:t>
      </w:r>
      <w:r w:rsidR="00FE349B">
        <w:t>‘</w:t>
      </w:r>
      <w:r w:rsidRPr="00C75413">
        <w:t>not valid</w:t>
      </w:r>
      <w:r w:rsidR="00FE349B">
        <w:t>’</w:t>
      </w:r>
      <w:r w:rsidRPr="00C75413">
        <w:t xml:space="preserve"> results</w:t>
      </w:r>
      <w:r>
        <w:t>, which means that in approximately 18% of occasions, the test would need to be repeated</w:t>
      </w:r>
      <w:r w:rsidRPr="00C75413">
        <w:t xml:space="preserve">. </w:t>
      </w:r>
      <w:r>
        <w:t xml:space="preserve">The authors reported that the platform was well-accepted by the healthcare workers with the majority agreeing that the </w:t>
      </w:r>
      <w:r w:rsidRPr="00C75413">
        <w:t xml:space="preserve">test </w:t>
      </w:r>
      <w:r>
        <w:t xml:space="preserve">was </w:t>
      </w:r>
      <w:r w:rsidRPr="00C75413">
        <w:t>easy to perform, g</w:t>
      </w:r>
      <w:r>
        <w:t>a</w:t>
      </w:r>
      <w:r w:rsidRPr="00C75413">
        <w:t>ve faster results and improve</w:t>
      </w:r>
      <w:r>
        <w:t>d</w:t>
      </w:r>
      <w:r w:rsidRPr="00C75413">
        <w:t xml:space="preserve"> bed management</w:t>
      </w:r>
      <w:r>
        <w:t xml:space="preserve">. </w:t>
      </w:r>
    </w:p>
    <w:p w14:paraId="18502D81" w14:textId="2A9E9122" w:rsidR="008B6FC2" w:rsidRDefault="008B6FC2"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or cost effectiveness of using </w:t>
      </w:r>
      <w:r>
        <w:t>POCT</w:t>
      </w:r>
      <w:r w:rsidRPr="00C75413">
        <w:t xml:space="preserve"> PCR systems vs </w:t>
      </w:r>
      <w:r>
        <w:t>laboratory-based</w:t>
      </w:r>
      <w:r w:rsidRPr="00C75413">
        <w:t xml:space="preserve"> PCR </w:t>
      </w:r>
      <w:r>
        <w:t xml:space="preserve">assays </w:t>
      </w:r>
      <w:r>
        <w:rPr>
          <w:rFonts w:cstheme="minorHAnsi"/>
        </w:rPr>
        <w:t xml:space="preserve">for </w:t>
      </w:r>
      <w:r w:rsidR="00962F76">
        <w:rPr>
          <w:rFonts w:cstheme="minorHAnsi"/>
        </w:rPr>
        <w:t>test</w:t>
      </w:r>
      <w:r>
        <w:rPr>
          <w:rFonts w:cstheme="minorHAnsi"/>
        </w:rPr>
        <w:t xml:space="preserve">ing patients with symptoms suggesting norovirus infection. </w:t>
      </w:r>
    </w:p>
    <w:p w14:paraId="56EE7B43" w14:textId="4C690224" w:rsidR="008B6FC2" w:rsidRDefault="008B6FC2"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turn-around-time for </w:t>
      </w:r>
      <w:r w:rsidRPr="00C75413">
        <w:rPr>
          <w:rFonts w:cstheme="minorHAnsi"/>
        </w:rPr>
        <w:t>POC</w:t>
      </w:r>
      <w:r>
        <w:rPr>
          <w:rFonts w:cstheme="minorHAnsi"/>
        </w:rPr>
        <w:t>T</w:t>
      </w:r>
      <w:r w:rsidRPr="00C75413">
        <w:rPr>
          <w:rFonts w:cstheme="minorHAnsi"/>
        </w:rPr>
        <w:t xml:space="preserve"> PCR systems vs laboratory-based PCR assays </w:t>
      </w:r>
      <w:r>
        <w:rPr>
          <w:rFonts w:cstheme="minorHAnsi"/>
        </w:rPr>
        <w:t xml:space="preserve">for </w:t>
      </w:r>
      <w:r w:rsidR="00962F76">
        <w:rPr>
          <w:rFonts w:cstheme="minorHAnsi"/>
        </w:rPr>
        <w:t>test</w:t>
      </w:r>
      <w:r>
        <w:rPr>
          <w:rFonts w:cstheme="minorHAnsi"/>
        </w:rPr>
        <w:t>ing patients with symptoms suggesting norovirus infection.</w:t>
      </w:r>
    </w:p>
    <w:p w14:paraId="15FBAB89" w14:textId="42B588BF" w:rsidR="008B6FC2" w:rsidRDefault="008B6FC2" w:rsidP="00CF7116">
      <w:pPr>
        <w:pStyle w:val="Heading3"/>
        <w:spacing w:before="240" w:after="160" w:line="276" w:lineRule="auto"/>
      </w:pPr>
      <w:r>
        <w:t xml:space="preserve">Scanning Electron Microscope </w:t>
      </w:r>
      <w:r w:rsidR="00E2003E">
        <w:t>(SEM)</w:t>
      </w:r>
    </w:p>
    <w:p w14:paraId="72F05359" w14:textId="010302CA" w:rsidR="008B6FC2" w:rsidRDefault="008B6FC2" w:rsidP="00CF7116">
      <w:pPr>
        <w:spacing w:before="240" w:line="276" w:lineRule="auto"/>
        <w:rPr>
          <w:rFonts w:cstheme="minorHAnsi"/>
        </w:rPr>
      </w:pPr>
      <w:r w:rsidRPr="0095272F">
        <w:t xml:space="preserve">There was </w:t>
      </w:r>
      <w:r w:rsidRPr="00FE349B">
        <w:t xml:space="preserve">weak </w:t>
      </w:r>
      <w:r w:rsidRPr="00B15BBD">
        <w:t>evidence</w:t>
      </w:r>
      <w:r>
        <w:t xml:space="preserve"> from one outbreak study</w:t>
      </w:r>
      <w:r w:rsidR="00FE349B">
        <w:t>,</w:t>
      </w:r>
      <w:r w:rsidR="00A60366">
        <w:rPr>
          <w:vertAlign w:val="superscript"/>
        </w:rPr>
        <w:t>56</w:t>
      </w:r>
      <w:r>
        <w:t xml:space="preserve"> which assessed the use of the </w:t>
      </w:r>
      <w:r w:rsidR="00E2003E">
        <w:t>SEM</w:t>
      </w:r>
      <w:r w:rsidRPr="00C75413">
        <w:t xml:space="preserve"> </w:t>
      </w:r>
      <w:r>
        <w:t>in comparison to</w:t>
      </w:r>
      <w:r w:rsidRPr="00C75413">
        <w:t xml:space="preserve"> PCR </w:t>
      </w:r>
      <w:r>
        <w:t xml:space="preserve">assays for detecting norovirus in symptomatic patients involved in </w:t>
      </w:r>
      <w:r w:rsidR="00161B15">
        <w:t xml:space="preserve">a </w:t>
      </w:r>
      <w:r>
        <w:t>Norovirus outbreak. The a</w:t>
      </w:r>
      <w:r w:rsidRPr="00C75413">
        <w:t xml:space="preserve">uthors reported that </w:t>
      </w:r>
      <w:r>
        <w:t>of</w:t>
      </w:r>
      <w:r w:rsidRPr="00C75413">
        <w:t xml:space="preserve"> </w:t>
      </w:r>
      <w:r>
        <w:t>twelve</w:t>
      </w:r>
      <w:r w:rsidRPr="00C75413">
        <w:t xml:space="preserve"> samples</w:t>
      </w:r>
      <w:r>
        <w:t xml:space="preserve"> sent to the laboratory for analysis</w:t>
      </w:r>
      <w:r w:rsidRPr="00C75413">
        <w:t xml:space="preserve">, </w:t>
      </w:r>
      <w:r>
        <w:t>seven (58%)</w:t>
      </w:r>
      <w:r w:rsidRPr="00C75413">
        <w:t xml:space="preserve"> tested positive by PCR and only </w:t>
      </w:r>
      <w:r w:rsidR="00161B15">
        <w:t xml:space="preserve">one </w:t>
      </w:r>
      <w:r>
        <w:t>sample which was taken from a confirmed norovirus-infected patient was positive</w:t>
      </w:r>
      <w:r w:rsidRPr="00C75413">
        <w:t xml:space="preserve"> by SEM. A</w:t>
      </w:r>
      <w:r>
        <w:t>dditionally the authors reported that in one individual (staff member) the</w:t>
      </w:r>
      <w:r w:rsidRPr="00C75413">
        <w:t xml:space="preserve"> PCR detected </w:t>
      </w:r>
      <w:r>
        <w:t>norovirus two</w:t>
      </w:r>
      <w:r w:rsidRPr="00C75413">
        <w:t xml:space="preserve"> days before they became symptomatic</w:t>
      </w:r>
      <w:r>
        <w:t>, which gave then an advantage of managing the person before they became ill</w:t>
      </w:r>
      <w:r w:rsidRPr="00C75413">
        <w:t xml:space="preserve">. Authors concluded that SEM </w:t>
      </w:r>
      <w:r>
        <w:t xml:space="preserve">was </w:t>
      </w:r>
      <w:r w:rsidRPr="00C75413">
        <w:t>not sensitive enough for diagnosi</w:t>
      </w:r>
      <w:r>
        <w:t>ng norovirus infection during outbreaks</w:t>
      </w:r>
      <w:r w:rsidRPr="00C75413">
        <w:t>.</w:t>
      </w:r>
      <w:r w:rsidR="000E41A6">
        <w:t xml:space="preserve"> </w:t>
      </w:r>
    </w:p>
    <w:p w14:paraId="01E623EC" w14:textId="4A3AD2BA" w:rsidR="008B6FC2" w:rsidRPr="009C1D5A" w:rsidRDefault="00FE349B" w:rsidP="00CF7116">
      <w:pPr>
        <w:spacing w:before="240" w:line="276" w:lineRule="auto"/>
        <w:rPr>
          <w:i/>
          <w:iCs/>
        </w:rPr>
      </w:pPr>
      <w:r w:rsidRPr="00FE349B">
        <w:rPr>
          <w:i/>
          <w:iCs/>
        </w:rPr>
        <w:t xml:space="preserve">Overall, </w:t>
      </w:r>
      <w:r w:rsidR="009C1D5A">
        <w:rPr>
          <w:i/>
          <w:iCs/>
        </w:rPr>
        <w:t xml:space="preserve">The Working Party agreed that </w:t>
      </w:r>
      <w:r w:rsidRPr="00FE349B">
        <w:rPr>
          <w:i/>
          <w:iCs/>
        </w:rPr>
        <w:t xml:space="preserve">there was moderate evidence that PCR </w:t>
      </w:r>
      <w:r w:rsidR="009C1D5A">
        <w:rPr>
          <w:i/>
          <w:iCs/>
        </w:rPr>
        <w:t xml:space="preserve">(single or multiplex) testing </w:t>
      </w:r>
      <w:r w:rsidRPr="00FE349B">
        <w:rPr>
          <w:i/>
          <w:iCs/>
        </w:rPr>
        <w:t>is more sensitive compared to other assays in detecting norovirus</w:t>
      </w:r>
      <w:r w:rsidR="009C1D5A">
        <w:rPr>
          <w:i/>
          <w:iCs/>
        </w:rPr>
        <w:t xml:space="preserve">. The Working Party acknowledged that other assays may still provide some benefit in settings where PCR is not readily available, i.e. where specimens need to be sent out and there is an expected delay in confirmation. A positive EIA or </w:t>
      </w:r>
      <w:r w:rsidR="005834C7">
        <w:rPr>
          <w:i/>
          <w:iCs/>
        </w:rPr>
        <w:t>IC</w:t>
      </w:r>
      <w:r w:rsidR="009C1D5A">
        <w:rPr>
          <w:i/>
          <w:iCs/>
        </w:rPr>
        <w:t xml:space="preserve">A result may in these situations help with early identification of norovirus cases as </w:t>
      </w:r>
      <w:r w:rsidR="006C356B">
        <w:rPr>
          <w:i/>
          <w:iCs/>
        </w:rPr>
        <w:t>i</w:t>
      </w:r>
      <w:r w:rsidR="009C1D5A">
        <w:rPr>
          <w:i/>
          <w:iCs/>
        </w:rPr>
        <w:t xml:space="preserve">t is expected that the turnaround (TAT) time for these assays may be significantly shorter. However, due to a low sensitivity of these assays, the Working Party stressed that, where negative results are obtained, there is still a need to confirm the absence of norovirus by PCR testing. There remains a question which (and if any) of these diagnostic methods provide any clinical or cost benefit in the management of norovirus patients during outbreaks. </w:t>
      </w:r>
    </w:p>
    <w:p w14:paraId="74FCC31D" w14:textId="77777777" w:rsidR="008B6FC2" w:rsidRPr="005605CD" w:rsidRDefault="008B6FC2" w:rsidP="005605CD">
      <w:pPr>
        <w:rPr>
          <w:b/>
          <w:bCs/>
        </w:rPr>
      </w:pPr>
      <w:r w:rsidRPr="005605CD">
        <w:rPr>
          <w:b/>
          <w:bCs/>
        </w:rPr>
        <w:t>Recommendations:</w:t>
      </w:r>
    </w:p>
    <w:p w14:paraId="37A49F7B" w14:textId="19B69342" w:rsidR="0049718C" w:rsidRPr="0049718C" w:rsidRDefault="009C1D5A" w:rsidP="00CF7116">
      <w:pPr>
        <w:spacing w:before="240" w:line="276" w:lineRule="auto"/>
      </w:pPr>
      <w:r w:rsidRPr="009C1D5A">
        <w:rPr>
          <w:b/>
          <w:bCs/>
        </w:rPr>
        <w:t>9.1:</w:t>
      </w:r>
      <w:r>
        <w:t xml:space="preserve"> Wherever possible, u</w:t>
      </w:r>
      <w:r w:rsidR="0049718C" w:rsidRPr="0049718C">
        <w:t>se PC</w:t>
      </w:r>
      <w:r>
        <w:t>R (single or multiplex) for confirmation of presence or absence of norovirus infection.</w:t>
      </w:r>
    </w:p>
    <w:p w14:paraId="5E6A1512" w14:textId="626BE757" w:rsidR="0049718C" w:rsidRDefault="009C1D5A" w:rsidP="00CF7116">
      <w:pPr>
        <w:spacing w:before="240" w:line="276" w:lineRule="auto"/>
      </w:pPr>
      <w:r w:rsidRPr="009C1D5A">
        <w:rPr>
          <w:b/>
          <w:bCs/>
        </w:rPr>
        <w:lastRenderedPageBreak/>
        <w:t>9.2:</w:t>
      </w:r>
      <w:r>
        <w:t xml:space="preserve"> </w:t>
      </w:r>
      <w:r w:rsidR="0049718C" w:rsidRPr="0049718C">
        <w:t xml:space="preserve">Do not use </w:t>
      </w:r>
      <w:r>
        <w:t xml:space="preserve">enzyme or immunochromatography assays </w:t>
      </w:r>
      <w:r w:rsidR="0049718C" w:rsidRPr="0049718C">
        <w:t xml:space="preserve">as a sole negative test to </w:t>
      </w:r>
      <w:r w:rsidR="00161B15">
        <w:t>exclude</w:t>
      </w:r>
      <w:r w:rsidR="0049718C" w:rsidRPr="0049718C">
        <w:t xml:space="preserve"> cases of norovirus</w:t>
      </w:r>
      <w:r>
        <w:t xml:space="preserve">. </w:t>
      </w:r>
    </w:p>
    <w:p w14:paraId="73B393C8" w14:textId="3D576FD5" w:rsidR="008B6FC2" w:rsidRPr="005605CD" w:rsidRDefault="008B6FC2" w:rsidP="005605CD">
      <w:pPr>
        <w:rPr>
          <w:b/>
          <w:bCs/>
        </w:rPr>
      </w:pPr>
      <w:r w:rsidRPr="005605CD">
        <w:rPr>
          <w:b/>
          <w:bCs/>
        </w:rPr>
        <w:t>Good practice points:</w:t>
      </w:r>
    </w:p>
    <w:p w14:paraId="494417C0" w14:textId="66D77462" w:rsidR="0049718C" w:rsidRPr="0049718C" w:rsidRDefault="009C1D5A" w:rsidP="00CF7116">
      <w:pPr>
        <w:spacing w:before="240" w:line="276" w:lineRule="auto"/>
      </w:pPr>
      <w:r w:rsidRPr="009C1D5A">
        <w:rPr>
          <w:b/>
          <w:bCs/>
        </w:rPr>
        <w:t>GPP</w:t>
      </w:r>
      <w:r w:rsidR="00953810">
        <w:rPr>
          <w:b/>
          <w:bCs/>
        </w:rPr>
        <w:t xml:space="preserve"> </w:t>
      </w:r>
      <w:r w:rsidRPr="009C1D5A">
        <w:rPr>
          <w:b/>
          <w:bCs/>
        </w:rPr>
        <w:t>9.1:</w:t>
      </w:r>
      <w:r>
        <w:t xml:space="preserve"> </w:t>
      </w:r>
      <w:r w:rsidR="0049718C" w:rsidRPr="0049718C">
        <w:t xml:space="preserve">Consider using </w:t>
      </w:r>
      <w:r>
        <w:t xml:space="preserve">enzyme or immunochromatography assays </w:t>
      </w:r>
      <w:r w:rsidR="0049718C" w:rsidRPr="0049718C">
        <w:t xml:space="preserve">testing if PCR is not readily available </w:t>
      </w:r>
      <w:r>
        <w:t xml:space="preserve">and where these assays may provide a more rapid confirmation of positivity. </w:t>
      </w:r>
    </w:p>
    <w:p w14:paraId="62A73F32" w14:textId="77777777" w:rsidR="008B6FC2" w:rsidRDefault="008B6FC2" w:rsidP="00CF7116">
      <w:pPr>
        <w:spacing w:before="240" w:line="276" w:lineRule="auto"/>
      </w:pPr>
    </w:p>
    <w:p w14:paraId="6BE56911" w14:textId="375E594C" w:rsidR="00E758C0" w:rsidRDefault="00E758C0" w:rsidP="00CF7116">
      <w:pPr>
        <w:pStyle w:val="Heading2"/>
        <w:spacing w:before="240" w:after="160" w:line="276" w:lineRule="auto"/>
      </w:pPr>
      <w:r>
        <w:t>8.10</w:t>
      </w:r>
      <w:r w:rsidRPr="00E758C0">
        <w:tab/>
        <w:t>What is the best method for storing and transport of specimens intended for norovirus screening/diagnosis?</w:t>
      </w:r>
    </w:p>
    <w:p w14:paraId="51FF0C37" w14:textId="6718CEDC" w:rsidR="00E758C0" w:rsidRDefault="008F7C20" w:rsidP="00CF7116">
      <w:pPr>
        <w:spacing w:before="240" w:line="276" w:lineRule="auto"/>
      </w:pPr>
      <w:r>
        <w:t xml:space="preserve">While it is desirable for samples to be transported and processed as soon as possible, this may not always be feasible. A delay to the processing may reduce the sensitivity of testing, especially in situations when viral load is low or when samples </w:t>
      </w:r>
      <w:r w:rsidR="00E758C0">
        <w:t>are not stored and transported appropriately.</w:t>
      </w:r>
      <w:r>
        <w:t xml:space="preserve"> Thus,</w:t>
      </w:r>
      <w:r w:rsidR="00E758C0">
        <w:t xml:space="preserve"> specific issues</w:t>
      </w:r>
      <w:r>
        <w:t xml:space="preserve"> such as optimal transport time, container type, storage temperature and the type of testing which will be used need to be</w:t>
      </w:r>
      <w:r w:rsidR="00E758C0">
        <w:t xml:space="preserve"> consider</w:t>
      </w:r>
      <w:r>
        <w:t>ed</w:t>
      </w:r>
      <w:r w:rsidR="00E758C0">
        <w:t xml:space="preserve"> to optimise testing outcome.</w:t>
      </w:r>
      <w:r>
        <w:t xml:space="preserve"> Previous UK guidelines</w:t>
      </w:r>
      <w:r w:rsidR="00AC0F9C" w:rsidRPr="00AC0F9C">
        <w:rPr>
          <w:vertAlign w:val="superscript"/>
        </w:rPr>
        <w:t>1</w:t>
      </w:r>
      <w:r>
        <w:t xml:space="preserve"> did not make any recommendations</w:t>
      </w:r>
      <w:r w:rsidR="009A031D">
        <w:t xml:space="preserve"> in relation to this topic</w:t>
      </w:r>
      <w:r>
        <w:t xml:space="preserve">. </w:t>
      </w:r>
    </w:p>
    <w:p w14:paraId="49B8D739" w14:textId="0570E2E3" w:rsidR="0059429F" w:rsidRDefault="0059429F" w:rsidP="00CF7116">
      <w:pPr>
        <w:spacing w:before="240" w:line="276" w:lineRule="auto"/>
      </w:pPr>
      <w:r w:rsidRPr="0095272F">
        <w:t xml:space="preserve">There was </w:t>
      </w:r>
      <w:r w:rsidRPr="008F7C20">
        <w:t xml:space="preserve">weak </w:t>
      </w:r>
      <w:r w:rsidRPr="00B15BBD">
        <w:t>evidence</w:t>
      </w:r>
      <w:r>
        <w:t xml:space="preserve"> from two studies</w:t>
      </w:r>
      <w:r w:rsidR="00A60366">
        <w:rPr>
          <w:vertAlign w:val="superscript"/>
        </w:rPr>
        <w:t>92,93</w:t>
      </w:r>
      <w:r>
        <w:t xml:space="preserve"> which assessed the diagnostic accuracy of stools samples which were stored and transported </w:t>
      </w:r>
      <w:r w:rsidR="008F7C20">
        <w:t>as</w:t>
      </w:r>
      <w:r>
        <w:t xml:space="preserve"> swabs vs </w:t>
      </w:r>
      <w:r w:rsidR="008F7C20">
        <w:t xml:space="preserve">the </w:t>
      </w:r>
      <w:r>
        <w:t>standard method for transporting stool samples. In one study,</w:t>
      </w:r>
      <w:r w:rsidR="00A60366">
        <w:rPr>
          <w:vertAlign w:val="superscript"/>
        </w:rPr>
        <w:t>92</w:t>
      </w:r>
      <w:r>
        <w:t xml:space="preserve"> stool samples obtained from children with diarrhoea were placed on </w:t>
      </w:r>
      <w:proofErr w:type="spellStart"/>
      <w:r w:rsidRPr="008F6292">
        <w:t>GenoTube</w:t>
      </w:r>
      <w:proofErr w:type="spellEnd"/>
      <w:r w:rsidRPr="008F6292">
        <w:t xml:space="preserve"> Livestock flocked swabs</w:t>
      </w:r>
      <w:r>
        <w:t xml:space="preserve"> and</w:t>
      </w:r>
      <w:r w:rsidRPr="008F6292">
        <w:t xml:space="preserve"> stored in an ambient temperature for up to 1.5 years before being shipped </w:t>
      </w:r>
      <w:r>
        <w:t>and</w:t>
      </w:r>
      <w:r w:rsidRPr="008F6292">
        <w:t xml:space="preserve"> processed. </w:t>
      </w:r>
      <w:r>
        <w:t>The remaining stool was</w:t>
      </w:r>
      <w:r w:rsidRPr="008F6292">
        <w:t xml:space="preserve"> stored at -80</w:t>
      </w:r>
      <w:r>
        <w:rPr>
          <w:rFonts w:cstheme="minorHAnsi"/>
        </w:rPr>
        <w:t>°</w:t>
      </w:r>
      <w:r w:rsidRPr="008F6292">
        <w:t xml:space="preserve">C </w:t>
      </w:r>
      <w:r>
        <w:t>and</w:t>
      </w:r>
      <w:r w:rsidRPr="008F6292">
        <w:t xml:space="preserve"> shipped on dry ice.</w:t>
      </w:r>
      <w:r>
        <w:t xml:space="preserve"> The authors reported that 60/239 (25.1%) swab samples were positive for norovirus while 42/239 (17.6%) of frozen stools were positive, an agreement of 91.2%. The authors also reported that the median </w:t>
      </w:r>
      <w:r w:rsidR="006C356B">
        <w:t>cycle threshold (</w:t>
      </w:r>
      <w:r>
        <w:t>Ct</w:t>
      </w:r>
      <w:r w:rsidR="006C356B">
        <w:t>)</w:t>
      </w:r>
      <w:r>
        <w:t xml:space="preserve"> values for positive PCR result</w:t>
      </w:r>
      <w:r w:rsidR="00161B15">
        <w:t>s</w:t>
      </w:r>
      <w:r>
        <w:t xml:space="preserve"> was 25 for swabs and 24 for frozen stool samples which means that the number of viral copies did not decline during the time the swab samples were stored at ambient temperature. In the second study,</w:t>
      </w:r>
      <w:r w:rsidR="00A60366">
        <w:rPr>
          <w:vertAlign w:val="superscript"/>
        </w:rPr>
        <w:t>93</w:t>
      </w:r>
      <w:r>
        <w:t xml:space="preserve"> stool samples received in the laboratory for testing for gastrointestinal pathogens were placed onto </w:t>
      </w:r>
      <w:r w:rsidR="008F7C20">
        <w:t xml:space="preserve">the </w:t>
      </w:r>
      <w:r>
        <w:t xml:space="preserve">FecalSwab system containing a flocked swab and a 2ml tube containing a modified Cary-Blair medium. These were processed together with the remaining sample of stool using </w:t>
      </w:r>
      <w:r w:rsidR="008F7C20">
        <w:t xml:space="preserve">the </w:t>
      </w:r>
      <w:proofErr w:type="spellStart"/>
      <w:r>
        <w:t>FilmArray</w:t>
      </w:r>
      <w:proofErr w:type="spellEnd"/>
      <w:r>
        <w:t xml:space="preserve"> system. The study reported that of 103 samples, 17 (16.5%) were positive for norovirus and all were identified from the swab and the standard method with no discrepant results. Additionally, the authors reported that 25 of the 103 samples, known to contain at least one gastrointestinal pathogen (five of which were positive for norovirus), were retested 24 hours later to determine stability. Norovirus was still detected in all samples by both methods. Interestingly, one additional sample </w:t>
      </w:r>
      <w:r w:rsidR="008F7C20">
        <w:t>was</w:t>
      </w:r>
      <w:r>
        <w:t xml:space="preserve"> identified as positive for norovirus by both methods after 24 hours</w:t>
      </w:r>
      <w:r w:rsidR="008F7C20">
        <w:t xml:space="preserve"> and this</w:t>
      </w:r>
      <w:r>
        <w:t xml:space="preserve"> positivity was confirmed as </w:t>
      </w:r>
      <w:r w:rsidR="008F7C20">
        <w:t xml:space="preserve">a </w:t>
      </w:r>
      <w:r>
        <w:t xml:space="preserve">true positive after testing the stool by PCR. The authors concluded that the diagnostic accuracy of the swab system </w:t>
      </w:r>
      <w:r w:rsidR="008F7C20">
        <w:t>wa</w:t>
      </w:r>
      <w:r>
        <w:t xml:space="preserve">s comparable to that of the traditionally stored and transported stool samples, however the new system provides a more convenient way for transporting samples to a laboratory. </w:t>
      </w:r>
    </w:p>
    <w:p w14:paraId="53258B89" w14:textId="0946785E"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clinical or cost effectiveness of using swab system vs traditional methods for storing and transporting stool samples for norovirus testing.</w:t>
      </w:r>
    </w:p>
    <w:p w14:paraId="1EE63C4E" w14:textId="463196D2" w:rsidR="0059429F" w:rsidRPr="00DE6D5F" w:rsidRDefault="0059429F" w:rsidP="00CF7116">
      <w:pPr>
        <w:spacing w:before="240" w:line="276" w:lineRule="auto"/>
        <w:rPr>
          <w:rFonts w:cstheme="minorHAnsi"/>
        </w:rPr>
      </w:pPr>
      <w:r w:rsidRPr="002404F9">
        <w:rPr>
          <w:rFonts w:cstheme="minorHAnsi"/>
        </w:rPr>
        <w:lastRenderedPageBreak/>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practicality of using swab system vs traditional methods for storing and transporting stool samples for norovirus testing.</w:t>
      </w:r>
    </w:p>
    <w:p w14:paraId="01A439C8" w14:textId="1DDC556E" w:rsidR="0059429F" w:rsidRDefault="0059429F" w:rsidP="00CF7116">
      <w:pPr>
        <w:spacing w:before="240" w:line="276" w:lineRule="auto"/>
      </w:pPr>
      <w:r w:rsidRPr="0095272F">
        <w:t>There was</w:t>
      </w:r>
      <w:r w:rsidRPr="008F7C20">
        <w:t xml:space="preserve"> weak</w:t>
      </w:r>
      <w:r w:rsidRPr="00B15BBD">
        <w:t xml:space="preserve"> evidence</w:t>
      </w:r>
      <w:r>
        <w:t xml:space="preserve"> from one study</w:t>
      </w:r>
      <w:r w:rsidR="00A60366">
        <w:rPr>
          <w:vertAlign w:val="superscript"/>
        </w:rPr>
        <w:t>92</w:t>
      </w:r>
      <w:r>
        <w:t xml:space="preserve"> which assessed the diagnostic accuracy of stools samples which were stored and transported on Whatman FTA elute cards vs </w:t>
      </w:r>
      <w:r w:rsidR="008F7C20">
        <w:t xml:space="preserve">the </w:t>
      </w:r>
      <w:r>
        <w:t>standard method for transporting stool samples. In this study,</w:t>
      </w:r>
      <w:r w:rsidR="00A60366">
        <w:rPr>
          <w:vertAlign w:val="superscript"/>
        </w:rPr>
        <w:t>92</w:t>
      </w:r>
      <w:r>
        <w:t xml:space="preserve"> stool samples obtained from children with diarrhoea were placed on elute cards and</w:t>
      </w:r>
      <w:r w:rsidRPr="008F6292">
        <w:t xml:space="preserve"> stored in an ambient temperature for up to 1.5 years before being shipped </w:t>
      </w:r>
      <w:r>
        <w:t>and</w:t>
      </w:r>
      <w:r w:rsidRPr="008F6292">
        <w:t xml:space="preserve"> processed. </w:t>
      </w:r>
      <w:r>
        <w:t>The remaining stool was</w:t>
      </w:r>
      <w:r w:rsidRPr="008F6292">
        <w:t xml:space="preserve"> stored at -80</w:t>
      </w:r>
      <w:r>
        <w:rPr>
          <w:rFonts w:cstheme="minorHAnsi"/>
        </w:rPr>
        <w:t>°</w:t>
      </w:r>
      <w:r w:rsidRPr="008F6292">
        <w:t xml:space="preserve">C </w:t>
      </w:r>
      <w:r>
        <w:t>and</w:t>
      </w:r>
      <w:r w:rsidRPr="008F6292">
        <w:t xml:space="preserve"> shipped on dry ice.</w:t>
      </w:r>
      <w:r>
        <w:t xml:space="preserve"> The authors reported that 45/239 (18.8%) card samples were positive for norovirus while 42/239 (17.6%) of frozen stools were positive, an agreement of 94.6%. The authors also reported that the median Ct values for positive PCR result was 29 for Whatman cards and 24 for frozen stool samples. </w:t>
      </w:r>
    </w:p>
    <w:p w14:paraId="14495F09" w14:textId="315A8FC8"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clinical or cost effectiveness of using elute card system vs traditional methods for storing and transporting stool samples for norovirus testing.</w:t>
      </w:r>
    </w:p>
    <w:p w14:paraId="5DCFAAA5" w14:textId="202E7A54"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practicality of using elute card system vs traditional methods for storing and transporting stool samples for norovirus testing.</w:t>
      </w:r>
    </w:p>
    <w:p w14:paraId="02D26123" w14:textId="68B0133F" w:rsidR="0059429F" w:rsidRDefault="0059429F" w:rsidP="00CF7116">
      <w:pPr>
        <w:spacing w:before="240" w:line="276" w:lineRule="auto"/>
        <w:rPr>
          <w:rFonts w:cstheme="minorHAnsi"/>
        </w:rPr>
      </w:pPr>
      <w:r>
        <w:rPr>
          <w:rFonts w:cstheme="minorHAnsi"/>
        </w:rPr>
        <w:t>There was additional evidence which was reported by an excluded study</w:t>
      </w:r>
      <w:r w:rsidR="00A60366">
        <w:rPr>
          <w:rFonts w:cstheme="minorHAnsi"/>
          <w:vertAlign w:val="superscript"/>
        </w:rPr>
        <w:t>94</w:t>
      </w:r>
      <w:r>
        <w:rPr>
          <w:rFonts w:cstheme="minorHAnsi"/>
        </w:rPr>
        <w:t xml:space="preserve"> (</w:t>
      </w:r>
      <w:r w:rsidR="008F7C20">
        <w:rPr>
          <w:rFonts w:cstheme="minorHAnsi"/>
        </w:rPr>
        <w:t xml:space="preserve">which </w:t>
      </w:r>
      <w:r>
        <w:rPr>
          <w:rFonts w:cstheme="minorHAnsi"/>
        </w:rPr>
        <w:t>used archived specimens) which retested 994 known n</w:t>
      </w:r>
      <w:r w:rsidRPr="008F6292">
        <w:rPr>
          <w:rFonts w:cstheme="minorHAnsi"/>
        </w:rPr>
        <w:t xml:space="preserve">orovirus-positive stool specimens collected for over </w:t>
      </w:r>
      <w:r w:rsidR="008F7C20">
        <w:rPr>
          <w:rFonts w:cstheme="minorHAnsi"/>
        </w:rPr>
        <w:t xml:space="preserve">a </w:t>
      </w:r>
      <w:r w:rsidRPr="008F6292">
        <w:rPr>
          <w:rFonts w:cstheme="minorHAnsi"/>
        </w:rPr>
        <w:t>20</w:t>
      </w:r>
      <w:r>
        <w:rPr>
          <w:rFonts w:cstheme="minorHAnsi"/>
        </w:rPr>
        <w:t>-</w:t>
      </w:r>
      <w:r w:rsidRPr="008F6292">
        <w:rPr>
          <w:rFonts w:cstheme="minorHAnsi"/>
        </w:rPr>
        <w:t>year period and stored at 4</w:t>
      </w:r>
      <w:r>
        <w:rPr>
          <w:rFonts w:cstheme="minorHAnsi"/>
        </w:rPr>
        <w:t>°</w:t>
      </w:r>
      <w:r w:rsidRPr="008F6292">
        <w:rPr>
          <w:rFonts w:cstheme="minorHAnsi"/>
        </w:rPr>
        <w:t xml:space="preserve">C. The </w:t>
      </w:r>
      <w:r>
        <w:rPr>
          <w:rFonts w:cstheme="minorHAnsi"/>
        </w:rPr>
        <w:t xml:space="preserve">study reported that the </w:t>
      </w:r>
      <w:r w:rsidRPr="008F6292">
        <w:rPr>
          <w:rFonts w:cstheme="minorHAnsi"/>
        </w:rPr>
        <w:t>majority of the specimens (79%) still tested positive but that there was an estimated 1</w:t>
      </w:r>
      <w:r>
        <w:rPr>
          <w:rFonts w:cstheme="minorHAnsi"/>
        </w:rPr>
        <w:t xml:space="preserve"> </w:t>
      </w:r>
      <w:r w:rsidRPr="008F6292">
        <w:rPr>
          <w:rFonts w:cstheme="minorHAnsi"/>
        </w:rPr>
        <w:t>log</w:t>
      </w:r>
      <w:r w:rsidRPr="008F6292">
        <w:rPr>
          <w:rFonts w:cstheme="minorHAnsi"/>
          <w:vertAlign w:val="subscript"/>
        </w:rPr>
        <w:t>10</w:t>
      </w:r>
      <w:r w:rsidRPr="008F6292">
        <w:rPr>
          <w:rFonts w:cstheme="minorHAnsi"/>
        </w:rPr>
        <w:t xml:space="preserve"> loss of viral titre per seven years of sample storage. The authors concluded that stools containing norovirus can be stored at this temperature for up to ten years with only </w:t>
      </w:r>
      <w:r>
        <w:rPr>
          <w:rFonts w:cstheme="minorHAnsi"/>
        </w:rPr>
        <w:t xml:space="preserve">a </w:t>
      </w:r>
      <w:r w:rsidRPr="008F6292">
        <w:rPr>
          <w:rFonts w:cstheme="minorHAnsi"/>
        </w:rPr>
        <w:t>minimal loss in PCR positivity</w:t>
      </w:r>
      <w:r>
        <w:rPr>
          <w:rFonts w:cstheme="minorHAnsi"/>
        </w:rPr>
        <w:t>, thus demonstrating that freezing samples may not be necessary for testing stool samples intended for confirmation of norovirus infection in patients</w:t>
      </w:r>
      <w:r w:rsidRPr="008F6292">
        <w:rPr>
          <w:rFonts w:cstheme="minorHAnsi"/>
        </w:rPr>
        <w:t>.</w:t>
      </w:r>
    </w:p>
    <w:p w14:paraId="7F3461D5" w14:textId="59303233" w:rsidR="008F7C20" w:rsidRPr="008F7C20" w:rsidRDefault="009C1D5A" w:rsidP="00CF7116">
      <w:pPr>
        <w:spacing w:before="240" w:line="276" w:lineRule="auto"/>
        <w:rPr>
          <w:i/>
          <w:iCs/>
        </w:rPr>
      </w:pPr>
      <w:r>
        <w:rPr>
          <w:i/>
          <w:iCs/>
        </w:rPr>
        <w:t>The Working Party agreed that the s</w:t>
      </w:r>
      <w:r w:rsidR="008F7C20" w:rsidRPr="008F7C20">
        <w:rPr>
          <w:i/>
          <w:iCs/>
        </w:rPr>
        <w:t>tandard methods</w:t>
      </w:r>
      <w:r>
        <w:rPr>
          <w:i/>
          <w:iCs/>
        </w:rPr>
        <w:t>, which</w:t>
      </w:r>
      <w:r w:rsidR="008F7C20" w:rsidRPr="008F7C20">
        <w:rPr>
          <w:i/>
          <w:iCs/>
        </w:rPr>
        <w:t xml:space="preserve"> involve sending whole stool samples for norovirus testing</w:t>
      </w:r>
      <w:r>
        <w:rPr>
          <w:i/>
          <w:iCs/>
        </w:rPr>
        <w:t xml:space="preserve"> should be used whenever possible. Sending the entire specimen offers an additional opportunity for further testing (i.e. when norovirus is not detected and there is a need to test the specimen for other pathogens). There is a concern, although this has not yet been demonstrated by the evidence, that after prolonged storage the diagnostic accuracy of faecal specimens may deteriorate. Therefore, in addition to obtaining the whole specimens, the Working Party recommend that these should be s</w:t>
      </w:r>
      <w:r w:rsidRPr="008F7C20">
        <w:rPr>
          <w:i/>
          <w:iCs/>
        </w:rPr>
        <w:t>tor</w:t>
      </w:r>
      <w:r>
        <w:rPr>
          <w:i/>
          <w:iCs/>
        </w:rPr>
        <w:t>ed</w:t>
      </w:r>
      <w:r w:rsidRPr="008F7C20">
        <w:rPr>
          <w:i/>
          <w:iCs/>
        </w:rPr>
        <w:t xml:space="preserve"> at 4</w:t>
      </w:r>
      <w:r>
        <w:rPr>
          <w:rFonts w:cstheme="minorHAnsi"/>
          <w:i/>
          <w:iCs/>
        </w:rPr>
        <w:t>°</w:t>
      </w:r>
      <w:r>
        <w:rPr>
          <w:i/>
          <w:iCs/>
        </w:rPr>
        <w:t>C</w:t>
      </w:r>
      <w:r w:rsidRPr="008F7C20">
        <w:rPr>
          <w:i/>
          <w:iCs/>
        </w:rPr>
        <w:t xml:space="preserve"> or below if there is a delay</w:t>
      </w:r>
      <w:r w:rsidR="008F7C20" w:rsidRPr="008F7C20">
        <w:rPr>
          <w:i/>
          <w:iCs/>
        </w:rPr>
        <w:t xml:space="preserve">. There was weak evidence that swab </w:t>
      </w:r>
      <w:r>
        <w:rPr>
          <w:i/>
          <w:iCs/>
        </w:rPr>
        <w:t xml:space="preserve">and elute card </w:t>
      </w:r>
      <w:r w:rsidRPr="008F7C20">
        <w:rPr>
          <w:i/>
          <w:iCs/>
        </w:rPr>
        <w:t xml:space="preserve">systems </w:t>
      </w:r>
      <w:r>
        <w:rPr>
          <w:i/>
          <w:iCs/>
        </w:rPr>
        <w:t>may</w:t>
      </w:r>
      <w:r w:rsidR="008F7C20" w:rsidRPr="008F7C20">
        <w:rPr>
          <w:i/>
          <w:iCs/>
        </w:rPr>
        <w:t xml:space="preserve"> be </w:t>
      </w:r>
      <w:r>
        <w:rPr>
          <w:i/>
          <w:iCs/>
        </w:rPr>
        <w:t xml:space="preserve">beneficial when </w:t>
      </w:r>
      <w:r w:rsidR="008F7C20" w:rsidRPr="008F7C20">
        <w:rPr>
          <w:i/>
          <w:iCs/>
        </w:rPr>
        <w:t xml:space="preserve">used as an alternative to transport samples for norovirus </w:t>
      </w:r>
      <w:r w:rsidRPr="008F7C20">
        <w:rPr>
          <w:i/>
          <w:iCs/>
        </w:rPr>
        <w:t>testing,</w:t>
      </w:r>
      <w:r>
        <w:rPr>
          <w:i/>
          <w:iCs/>
        </w:rPr>
        <w:t xml:space="preserve"> but further studies are needed before these can be recommended as routine practice.</w:t>
      </w:r>
      <w:r w:rsidR="000E41A6">
        <w:rPr>
          <w:i/>
          <w:iCs/>
        </w:rPr>
        <w:t xml:space="preserve"> </w:t>
      </w:r>
    </w:p>
    <w:p w14:paraId="5BE527C5" w14:textId="77777777" w:rsidR="0059429F" w:rsidRDefault="0059429F" w:rsidP="00CF7116">
      <w:pPr>
        <w:spacing w:before="240" w:line="276" w:lineRule="auto"/>
      </w:pPr>
    </w:p>
    <w:p w14:paraId="0133A948" w14:textId="77777777" w:rsidR="0059429F" w:rsidRPr="00E47EC2" w:rsidRDefault="0059429F" w:rsidP="00CF7116">
      <w:pPr>
        <w:spacing w:line="276" w:lineRule="auto"/>
        <w:rPr>
          <w:b/>
          <w:bCs/>
        </w:rPr>
      </w:pPr>
      <w:r w:rsidRPr="00E47EC2">
        <w:rPr>
          <w:b/>
          <w:bCs/>
        </w:rPr>
        <w:t>Recommendations:</w:t>
      </w:r>
    </w:p>
    <w:p w14:paraId="35F1EB2D" w14:textId="2FEF20E5" w:rsidR="0059429F" w:rsidRPr="008F7C20" w:rsidRDefault="009C1D5A" w:rsidP="00CF7116">
      <w:pPr>
        <w:spacing w:before="240" w:line="276" w:lineRule="auto"/>
      </w:pPr>
      <w:r w:rsidRPr="009C1D5A">
        <w:rPr>
          <w:b/>
          <w:bCs/>
        </w:rPr>
        <w:t>10.1:</w:t>
      </w:r>
      <w:r>
        <w:t xml:space="preserve"> No recommendation</w:t>
      </w:r>
    </w:p>
    <w:p w14:paraId="1CD7E3C9" w14:textId="77777777" w:rsidR="0059429F" w:rsidRPr="00E47EC2" w:rsidRDefault="0059429F" w:rsidP="00CF7116">
      <w:pPr>
        <w:spacing w:line="276" w:lineRule="auto"/>
        <w:rPr>
          <w:b/>
          <w:bCs/>
        </w:rPr>
      </w:pPr>
      <w:r w:rsidRPr="00E47EC2">
        <w:rPr>
          <w:b/>
          <w:bCs/>
        </w:rPr>
        <w:t>Good practice points:</w:t>
      </w:r>
    </w:p>
    <w:p w14:paraId="6C2984BC" w14:textId="7298BADA" w:rsidR="008F7C20" w:rsidRDefault="009C1D5A" w:rsidP="00CF7116">
      <w:pPr>
        <w:spacing w:before="240" w:line="276" w:lineRule="auto"/>
      </w:pPr>
      <w:r w:rsidRPr="009C1D5A">
        <w:rPr>
          <w:b/>
          <w:bCs/>
        </w:rPr>
        <w:t>GPP</w:t>
      </w:r>
      <w:r w:rsidR="00953810">
        <w:rPr>
          <w:b/>
          <w:bCs/>
        </w:rPr>
        <w:t xml:space="preserve"> </w:t>
      </w:r>
      <w:r w:rsidRPr="009C1D5A">
        <w:rPr>
          <w:b/>
          <w:bCs/>
        </w:rPr>
        <w:t xml:space="preserve">10.1: </w:t>
      </w:r>
      <w:r w:rsidRPr="009C1D5A">
        <w:t xml:space="preserve">Use whole stool samples when sending the specimens for norovirus testing. </w:t>
      </w:r>
    </w:p>
    <w:p w14:paraId="581E28CC" w14:textId="68452292" w:rsidR="009C1D5A" w:rsidRPr="009C1D5A" w:rsidRDefault="009C1D5A" w:rsidP="00CF7116">
      <w:pPr>
        <w:spacing w:before="240" w:line="276" w:lineRule="auto"/>
        <w:rPr>
          <w:b/>
          <w:bCs/>
        </w:rPr>
      </w:pPr>
      <w:r w:rsidRPr="009C1D5A">
        <w:rPr>
          <w:b/>
          <w:bCs/>
        </w:rPr>
        <w:lastRenderedPageBreak/>
        <w:t>GPP</w:t>
      </w:r>
      <w:r w:rsidR="00953810">
        <w:rPr>
          <w:b/>
          <w:bCs/>
        </w:rPr>
        <w:t xml:space="preserve"> </w:t>
      </w:r>
      <w:r w:rsidRPr="009C1D5A">
        <w:rPr>
          <w:b/>
          <w:bCs/>
        </w:rPr>
        <w:t>10.2:</w:t>
      </w:r>
      <w:r>
        <w:t xml:space="preserve"> I</w:t>
      </w:r>
      <w:r w:rsidRPr="009C1D5A">
        <w:t>f there is an expected delay in transport</w:t>
      </w:r>
      <w:r>
        <w:t xml:space="preserve"> or processing of the specimens intended for norovirus testing, store the stool samples at </w:t>
      </w:r>
      <w:r w:rsidRPr="009C1D5A">
        <w:t>4°C or below</w:t>
      </w:r>
      <w:r>
        <w:t xml:space="preserve">. </w:t>
      </w:r>
    </w:p>
    <w:p w14:paraId="6D6152F8" w14:textId="77777777" w:rsidR="0059429F" w:rsidRDefault="0059429F" w:rsidP="00CF7116">
      <w:pPr>
        <w:spacing w:before="240" w:line="276" w:lineRule="auto"/>
      </w:pPr>
    </w:p>
    <w:p w14:paraId="39947959" w14:textId="2F6E5C7E" w:rsidR="00E758C0" w:rsidRDefault="00E758C0" w:rsidP="00CF7116">
      <w:pPr>
        <w:pStyle w:val="Heading2"/>
        <w:spacing w:before="240" w:after="160" w:line="276" w:lineRule="auto"/>
      </w:pPr>
      <w:r>
        <w:t>8.11</w:t>
      </w:r>
      <w:r w:rsidRPr="00E758C0">
        <w:tab/>
        <w:t>What are the alternatives to faecal</w:t>
      </w:r>
      <w:r>
        <w:t xml:space="preserve"> (stool)</w:t>
      </w:r>
      <w:r w:rsidRPr="00E758C0">
        <w:t xml:space="preserve"> sampling for screening/diagnosing norovirus infection?</w:t>
      </w:r>
    </w:p>
    <w:p w14:paraId="6C3D1122" w14:textId="79285F59" w:rsidR="00E758C0" w:rsidRPr="00AC0F9C" w:rsidRDefault="00E758C0" w:rsidP="00CF7116">
      <w:pPr>
        <w:spacing w:before="240" w:line="276" w:lineRule="auto"/>
        <w:rPr>
          <w:vertAlign w:val="superscript"/>
        </w:rPr>
      </w:pPr>
      <w:r>
        <w:t>The optimal specimen for laboratory diagnosis of norovirus infection is a diarrheal faecal sample</w:t>
      </w:r>
      <w:r w:rsidR="009A031D">
        <w:t>,</w:t>
      </w:r>
      <w:r>
        <w:t xml:space="preserve"> i</w:t>
      </w:r>
      <w:r w:rsidR="009A031D">
        <w:t>.</w:t>
      </w:r>
      <w:r>
        <w:t>e</w:t>
      </w:r>
      <w:r w:rsidR="009A031D">
        <w:t>.</w:t>
      </w:r>
      <w:r>
        <w:t xml:space="preserve"> a sample that takes the shape of the container. In some circumstances</w:t>
      </w:r>
      <w:r w:rsidR="009A031D">
        <w:t>, this</w:t>
      </w:r>
      <w:r>
        <w:t xml:space="preserve"> may be difficult to obtain</w:t>
      </w:r>
      <w:r w:rsidR="009A031D">
        <w:t>,</w:t>
      </w:r>
      <w:r>
        <w:t xml:space="preserve"> for example if a patient has a paralytic ileus. </w:t>
      </w:r>
      <w:r w:rsidR="009A031D">
        <w:t>W</w:t>
      </w:r>
      <w:r>
        <w:t>aiting for a faecal sample may also cause time delays which have significant effects of subsequent patient management and infection prevention measures</w:t>
      </w:r>
      <w:r w:rsidR="009A031D">
        <w:t>, for example,</w:t>
      </w:r>
      <w:r>
        <w:t xml:space="preserve"> waiting for stool to be produced and collected may delay sampling and miss a run at the laboratory. Vomitus or rectal swabs </w:t>
      </w:r>
      <w:r w:rsidR="009A031D">
        <w:t>may be</w:t>
      </w:r>
      <w:r>
        <w:t xml:space="preserve"> potential alternatives to faecal </w:t>
      </w:r>
      <w:r w:rsidR="009A031D">
        <w:t>sampling; however it is not clear whether these samples provide diagnostic accuracy which is similar to stool samples. Rectal swabs are more prone to degradation when compared to stool, which may render testing less sensitive, and they may be less acceptable to the public.</w:t>
      </w:r>
      <w:r>
        <w:t xml:space="preserve"> </w:t>
      </w:r>
      <w:r w:rsidR="009A031D">
        <w:t>Previous UK guidelines</w:t>
      </w:r>
      <w:r w:rsidR="00AC0F9C" w:rsidRPr="00AC0F9C">
        <w:rPr>
          <w:vertAlign w:val="superscript"/>
        </w:rPr>
        <w:t>1</w:t>
      </w:r>
      <w:r w:rsidR="009A031D">
        <w:t xml:space="preserve"> did not make any specific recommendations whether samples other than stool could be used as alternatives. </w:t>
      </w:r>
    </w:p>
    <w:p w14:paraId="6646EBEE" w14:textId="77777777" w:rsidR="0059429F" w:rsidRPr="00FD0C1D" w:rsidRDefault="0059429F" w:rsidP="00CF7116">
      <w:pPr>
        <w:pStyle w:val="Heading3"/>
        <w:spacing w:before="240" w:after="160" w:line="276" w:lineRule="auto"/>
      </w:pPr>
      <w:r>
        <w:t>Rectal swabs</w:t>
      </w:r>
    </w:p>
    <w:p w14:paraId="49D5FC7A" w14:textId="3A1AC86E" w:rsidR="0059429F" w:rsidRDefault="0059429F" w:rsidP="00CF7116">
      <w:pPr>
        <w:spacing w:before="240" w:line="276" w:lineRule="auto"/>
      </w:pPr>
      <w:r w:rsidRPr="0095272F">
        <w:t xml:space="preserve">There was </w:t>
      </w:r>
      <w:r w:rsidRPr="009A031D">
        <w:t xml:space="preserve">moderate </w:t>
      </w:r>
      <w:r w:rsidRPr="00B15BBD">
        <w:t>evidence</w:t>
      </w:r>
      <w:r>
        <w:t xml:space="preserve"> from the meta-analysis of seven studies,</w:t>
      </w:r>
      <w:r w:rsidR="00AE02F8">
        <w:rPr>
          <w:vertAlign w:val="superscript"/>
        </w:rPr>
        <w:t>95-101</w:t>
      </w:r>
      <w:r>
        <w:t xml:space="preserve"> which assessed the diagnostic accuracy of rectal swabs vs stool samples for </w:t>
      </w:r>
      <w:r w:rsidR="00962F76">
        <w:t>test</w:t>
      </w:r>
      <w:r>
        <w:t>ing patients with symptoms suggesting norovirus infection. All studies except one used flocked swabs for collecting samples,</w:t>
      </w:r>
      <w:r w:rsidR="00AE02F8">
        <w:rPr>
          <w:vertAlign w:val="superscript"/>
        </w:rPr>
        <w:t>96-101</w:t>
      </w:r>
      <w:r>
        <w:t xml:space="preserve"> the remaining study used a traditional polyester-tipped swab.</w:t>
      </w:r>
      <w:r w:rsidR="00AE02F8">
        <w:rPr>
          <w:vertAlign w:val="superscript"/>
        </w:rPr>
        <w:t>95</w:t>
      </w:r>
      <w:r>
        <w:t xml:space="preserve"> Overall, meta-analysis showed that the sensitivity varied from 0.53 [CI95% 0.36-0.69]</w:t>
      </w:r>
      <w:r w:rsidR="00AE02F8">
        <w:rPr>
          <w:vertAlign w:val="superscript"/>
        </w:rPr>
        <w:t>100</w:t>
      </w:r>
      <w:r>
        <w:t xml:space="preserve"> to 1.00 [CI95% 0.92-1.00]</w:t>
      </w:r>
      <w:r w:rsidR="00AE02F8">
        <w:rPr>
          <w:vertAlign w:val="superscript"/>
        </w:rPr>
        <w:t>98</w:t>
      </w:r>
      <w:r>
        <w:t xml:space="preserve"> with only two studies reporting the sensitivity over 0.90.</w:t>
      </w:r>
      <w:r w:rsidR="00AE02F8">
        <w:rPr>
          <w:vertAlign w:val="superscript"/>
        </w:rPr>
        <w:t>98,101</w:t>
      </w:r>
      <w:r>
        <w:t xml:space="preserve"> All studies reported high specificity of the swabs ranging from 0.91 [CI95% 0.82-0.96]</w:t>
      </w:r>
      <w:r w:rsidR="00AE02F8">
        <w:rPr>
          <w:vertAlign w:val="superscript"/>
        </w:rPr>
        <w:t>95</w:t>
      </w:r>
      <w:r>
        <w:t xml:space="preserve"> to 1.00 [CI95% 0.92-1.00].</w:t>
      </w:r>
      <w:r w:rsidR="00AE02F8">
        <w:rPr>
          <w:vertAlign w:val="superscript"/>
        </w:rPr>
        <w:t>98</w:t>
      </w:r>
      <w:r>
        <w:t xml:space="preserve"> </w:t>
      </w:r>
    </w:p>
    <w:p w14:paraId="3143A731" w14:textId="1FABBB11"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or cost effectiveness of using rectal swabs vs stool samples for </w:t>
      </w:r>
      <w:r w:rsidR="00962F76">
        <w:rPr>
          <w:rFonts w:cstheme="minorHAnsi"/>
        </w:rPr>
        <w:t>test</w:t>
      </w:r>
      <w:r>
        <w:rPr>
          <w:rFonts w:cstheme="minorHAnsi"/>
        </w:rPr>
        <w:t>ing patients with symptoms suggesting norovirus infection.</w:t>
      </w:r>
    </w:p>
    <w:p w14:paraId="0B71D899" w14:textId="639A588A"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time until sample was obtained using rectal swabs vs stool specimens for </w:t>
      </w:r>
      <w:r w:rsidR="00962F76">
        <w:rPr>
          <w:rFonts w:cstheme="minorHAnsi"/>
        </w:rPr>
        <w:t>test</w:t>
      </w:r>
      <w:r>
        <w:rPr>
          <w:rFonts w:cstheme="minorHAnsi"/>
        </w:rPr>
        <w:t>ing patients with symptoms suggesting norovirus infection.</w:t>
      </w:r>
    </w:p>
    <w:p w14:paraId="298F183C" w14:textId="414BF137"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w:t>
      </w:r>
      <w:r>
        <w:rPr>
          <w:rFonts w:cstheme="minorHAnsi"/>
        </w:rPr>
        <w:t xml:space="preserve">the ease of obtaining a sample when using rectal swabs vs stool specimens for </w:t>
      </w:r>
      <w:r w:rsidR="00962F76">
        <w:rPr>
          <w:rFonts w:cstheme="minorHAnsi"/>
        </w:rPr>
        <w:t>test</w:t>
      </w:r>
      <w:r>
        <w:rPr>
          <w:rFonts w:cstheme="minorHAnsi"/>
        </w:rPr>
        <w:t>ing patients with symptoms suggesting norovirus infection.</w:t>
      </w:r>
    </w:p>
    <w:p w14:paraId="71A1878A" w14:textId="04321587" w:rsidR="0059429F" w:rsidRDefault="0059429F" w:rsidP="00CF7116">
      <w:pPr>
        <w:spacing w:before="240" w:line="276" w:lineRule="auto"/>
      </w:pPr>
      <w:r w:rsidRPr="0095272F">
        <w:t>There was</w:t>
      </w:r>
      <w:r w:rsidRPr="009A031D">
        <w:t xml:space="preserve"> weak</w:t>
      </w:r>
      <w:r w:rsidRPr="00B15BBD">
        <w:t xml:space="preserve"> evidence</w:t>
      </w:r>
      <w:r>
        <w:t xml:space="preserve"> from one study,</w:t>
      </w:r>
      <w:r w:rsidR="00AE02F8">
        <w:rPr>
          <w:vertAlign w:val="superscript"/>
        </w:rPr>
        <w:t>98</w:t>
      </w:r>
      <w:r>
        <w:t xml:space="preserve"> which assessed </w:t>
      </w:r>
      <w:r w:rsidR="009A031D">
        <w:t xml:space="preserve">the </w:t>
      </w:r>
      <w:r>
        <w:t>acceptability of obtaining rectal swabs. The study c</w:t>
      </w:r>
      <w:r w:rsidRPr="00A35783">
        <w:t>ollected data from children</w:t>
      </w:r>
      <w:r w:rsidR="00161B15">
        <w:t>’</w:t>
      </w:r>
      <w:r w:rsidRPr="00A35783">
        <w:t xml:space="preserve">s parents </w:t>
      </w:r>
      <w:r>
        <w:t xml:space="preserve">who rated the </w:t>
      </w:r>
      <w:r w:rsidRPr="00A35783">
        <w:t>acceptability of rectal swab</w:t>
      </w:r>
      <w:r>
        <w:t>s</w:t>
      </w:r>
      <w:r w:rsidRPr="00A35783">
        <w:t xml:space="preserve"> </w:t>
      </w:r>
      <w:r>
        <w:t>using a 5-point L</w:t>
      </w:r>
      <w:r w:rsidRPr="00A35783">
        <w:t xml:space="preserve">ikert scale </w:t>
      </w:r>
      <w:r>
        <w:t>with answers ranging from a</w:t>
      </w:r>
      <w:r w:rsidRPr="00A35783">
        <w:t>cceptable</w:t>
      </w:r>
      <w:r>
        <w:t xml:space="preserve"> to una</w:t>
      </w:r>
      <w:r w:rsidRPr="00A35783">
        <w:t>cceptable). From 279</w:t>
      </w:r>
      <w:r>
        <w:t xml:space="preserve"> </w:t>
      </w:r>
      <w:r>
        <w:lastRenderedPageBreak/>
        <w:t>responses received</w:t>
      </w:r>
      <w:r w:rsidRPr="00A35783">
        <w:t>: 266 (95%)</w:t>
      </w:r>
      <w:r>
        <w:t xml:space="preserve"> parents</w:t>
      </w:r>
      <w:r w:rsidRPr="00A35783">
        <w:t xml:space="preserve"> re</w:t>
      </w:r>
      <w:r>
        <w:t>ported that</w:t>
      </w:r>
      <w:r w:rsidRPr="00A35783">
        <w:t xml:space="preserve"> this method was acceptable, </w:t>
      </w:r>
      <w:r w:rsidR="001128A6">
        <w:t>eight</w:t>
      </w:r>
      <w:r w:rsidRPr="00A35783">
        <w:t xml:space="preserve"> (3%) slightly acceptable, </w:t>
      </w:r>
      <w:r w:rsidR="001128A6">
        <w:t>three</w:t>
      </w:r>
      <w:r w:rsidRPr="00A35783">
        <w:t xml:space="preserve"> (1%) neutral and </w:t>
      </w:r>
      <w:r w:rsidR="001128A6">
        <w:t>two</w:t>
      </w:r>
      <w:r w:rsidRPr="00A35783">
        <w:t xml:space="preserve"> (1%) re</w:t>
      </w:r>
      <w:r>
        <w:t xml:space="preserve">ported that this method was </w:t>
      </w:r>
      <w:r w:rsidRPr="00A35783">
        <w:t>unacceptable.</w:t>
      </w:r>
      <w:r>
        <w:t xml:space="preserve"> </w:t>
      </w:r>
    </w:p>
    <w:p w14:paraId="5CD9BFDA" w14:textId="77777777" w:rsidR="0059429F" w:rsidRPr="00FD0C1D" w:rsidRDefault="0059429F" w:rsidP="00CF7116">
      <w:pPr>
        <w:pStyle w:val="Heading3"/>
        <w:spacing w:before="240" w:after="160" w:line="276" w:lineRule="auto"/>
      </w:pPr>
      <w:r>
        <w:t>Vomit</w:t>
      </w:r>
    </w:p>
    <w:p w14:paraId="28A1FED0" w14:textId="60C7C06C" w:rsidR="0059429F" w:rsidRDefault="0059429F" w:rsidP="00CF7116">
      <w:pPr>
        <w:spacing w:before="240" w:line="276" w:lineRule="auto"/>
      </w:pPr>
      <w:r w:rsidRPr="0095272F">
        <w:t>There was</w:t>
      </w:r>
      <w:r w:rsidR="009A031D" w:rsidRPr="009A031D">
        <w:t xml:space="preserve"> weak</w:t>
      </w:r>
      <w:r w:rsidR="009A031D" w:rsidRPr="00B15BBD">
        <w:t xml:space="preserve"> </w:t>
      </w:r>
      <w:r w:rsidRPr="00B15BBD">
        <w:t>evidence</w:t>
      </w:r>
      <w:r>
        <w:t xml:space="preserve"> from one </w:t>
      </w:r>
      <w:r w:rsidR="00E2003E">
        <w:t>DAS</w:t>
      </w:r>
      <w:r w:rsidR="00AE02F8">
        <w:rPr>
          <w:vertAlign w:val="superscript"/>
        </w:rPr>
        <w:t>102</w:t>
      </w:r>
      <w:r>
        <w:t xml:space="preserve"> and one outbreak report</w:t>
      </w:r>
      <w:r w:rsidR="00AE02F8">
        <w:rPr>
          <w:vertAlign w:val="superscript"/>
        </w:rPr>
        <w:t>56</w:t>
      </w:r>
      <w:r>
        <w:t xml:space="preserve"> which assessed the diagnostic accuracy of vomit samples vs stool specimens for </w:t>
      </w:r>
      <w:r w:rsidR="00962F76">
        <w:t>test</w:t>
      </w:r>
      <w:r>
        <w:t xml:space="preserve">ing patients with symptoms suggesting norovirus infection. The </w:t>
      </w:r>
      <w:r w:rsidR="00E2003E">
        <w:t>DAS</w:t>
      </w:r>
      <w:r w:rsidR="00AE02F8">
        <w:rPr>
          <w:vertAlign w:val="superscript"/>
        </w:rPr>
        <w:t>102</w:t>
      </w:r>
      <w:r>
        <w:t xml:space="preserve"> reported the sensitivity to be low (0.67 [CI95% 0.49-0.81]) and specificity to be high (0.96 [CI95% 0.89-0.99]). The o</w:t>
      </w:r>
      <w:r w:rsidRPr="00A35783">
        <w:t xml:space="preserve">utbreak </w:t>
      </w:r>
      <w:r>
        <w:t>study</w:t>
      </w:r>
      <w:r w:rsidR="00AE02F8">
        <w:rPr>
          <w:vertAlign w:val="superscript"/>
        </w:rPr>
        <w:t>56</w:t>
      </w:r>
      <w:r>
        <w:t xml:space="preserve"> r</w:t>
      </w:r>
      <w:r w:rsidRPr="00A35783">
        <w:t xml:space="preserve">eported that </w:t>
      </w:r>
      <w:r>
        <w:t>vomit</w:t>
      </w:r>
      <w:r w:rsidRPr="00A35783">
        <w:t xml:space="preserve"> specimens were not sensitive</w:t>
      </w:r>
      <w:r>
        <w:t xml:space="preserve"> enough to detect</w:t>
      </w:r>
      <w:r w:rsidRPr="00A35783">
        <w:t xml:space="preserve"> </w:t>
      </w:r>
      <w:r>
        <w:t xml:space="preserve">norovirus with </w:t>
      </w:r>
      <w:r w:rsidRPr="00A35783">
        <w:t xml:space="preserve">only </w:t>
      </w:r>
      <w:r w:rsidR="001128A6">
        <w:t>two</w:t>
      </w:r>
      <w:r>
        <w:t xml:space="preserve"> of </w:t>
      </w:r>
      <w:r w:rsidR="001128A6">
        <w:t>eight</w:t>
      </w:r>
      <w:r w:rsidRPr="00A35783">
        <w:t xml:space="preserve"> </w:t>
      </w:r>
      <w:r>
        <w:t xml:space="preserve">(25%) </w:t>
      </w:r>
      <w:r w:rsidRPr="00A35783">
        <w:t>symptomatic cases</w:t>
      </w:r>
      <w:r>
        <w:t xml:space="preserve"> testing positive for norovirus. </w:t>
      </w:r>
    </w:p>
    <w:p w14:paraId="69B94BA0" w14:textId="26968A1E"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or cost effectiveness of using vomit vs stool samples for </w:t>
      </w:r>
      <w:r w:rsidR="00962F76">
        <w:rPr>
          <w:rFonts w:cstheme="minorHAnsi"/>
        </w:rPr>
        <w:t>test</w:t>
      </w:r>
      <w:r>
        <w:rPr>
          <w:rFonts w:cstheme="minorHAnsi"/>
        </w:rPr>
        <w:t>ing patients with symptoms suggesting norovirus infection.</w:t>
      </w:r>
    </w:p>
    <w:p w14:paraId="04971FB5" w14:textId="67E589FD"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time until sample was obtained using vomit vs stool specimens for </w:t>
      </w:r>
      <w:r w:rsidR="00962F76">
        <w:rPr>
          <w:rFonts w:cstheme="minorHAnsi"/>
        </w:rPr>
        <w:t>test</w:t>
      </w:r>
      <w:r>
        <w:rPr>
          <w:rFonts w:cstheme="minorHAnsi"/>
        </w:rPr>
        <w:t>ing patients with symptoms suggesting norovirus infection.</w:t>
      </w:r>
    </w:p>
    <w:p w14:paraId="34A8096B" w14:textId="47C16A36"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w:t>
      </w:r>
      <w:r>
        <w:rPr>
          <w:rFonts w:cstheme="minorHAnsi"/>
        </w:rPr>
        <w:t xml:space="preserve">the ease of obtaining a sample when using vomit vs stool specimens for </w:t>
      </w:r>
      <w:r w:rsidR="00962F76">
        <w:rPr>
          <w:rFonts w:cstheme="minorHAnsi"/>
        </w:rPr>
        <w:t>test</w:t>
      </w:r>
      <w:r>
        <w:rPr>
          <w:rFonts w:cstheme="minorHAnsi"/>
        </w:rPr>
        <w:t>ing patients with symptoms suggesting norovirus infection.</w:t>
      </w:r>
    </w:p>
    <w:p w14:paraId="2D7E1D39" w14:textId="77777777" w:rsidR="0059429F" w:rsidRPr="00FD0C1D" w:rsidRDefault="0059429F" w:rsidP="00CF7116">
      <w:pPr>
        <w:pStyle w:val="Heading3"/>
        <w:spacing w:before="240" w:after="160" w:line="276" w:lineRule="auto"/>
      </w:pPr>
      <w:r>
        <w:t>Saliva</w:t>
      </w:r>
    </w:p>
    <w:p w14:paraId="5A33D4E5" w14:textId="090B687C" w:rsidR="0059429F" w:rsidRDefault="0059429F" w:rsidP="00CF7116">
      <w:pPr>
        <w:spacing w:before="240" w:line="276" w:lineRule="auto"/>
      </w:pPr>
      <w:r w:rsidRPr="0095272F">
        <w:t>There was</w:t>
      </w:r>
      <w:r w:rsidR="009A031D" w:rsidRPr="009A031D">
        <w:t xml:space="preserve"> weak</w:t>
      </w:r>
      <w:r w:rsidR="009A031D" w:rsidRPr="00B15BBD">
        <w:t xml:space="preserve"> </w:t>
      </w:r>
      <w:r w:rsidRPr="00B15BBD">
        <w:t>evidence</w:t>
      </w:r>
      <w:r>
        <w:t xml:space="preserve"> from one study</w:t>
      </w:r>
      <w:r>
        <w:rPr>
          <w:vertAlign w:val="superscript"/>
        </w:rPr>
        <w:t>10</w:t>
      </w:r>
      <w:r w:rsidR="00AE02F8">
        <w:rPr>
          <w:vertAlign w:val="superscript"/>
        </w:rPr>
        <w:t>3</w:t>
      </w:r>
      <w:r>
        <w:t xml:space="preserve"> which assessed the diagnostic accuracy of saliva vs stool specimens for </w:t>
      </w:r>
      <w:r w:rsidR="00962F76">
        <w:t>test</w:t>
      </w:r>
      <w:r>
        <w:t>ing patients with symptoms suggesting norovirus infection. The study reported that sensitivity was only 0.12 [CI95% nor reported] while the specificity was high (0.95 [CI95% not reported]). The authors reported that s</w:t>
      </w:r>
      <w:r w:rsidRPr="00A35783">
        <w:t xml:space="preserve">aliva positivity was not associated with any symptoms of </w:t>
      </w:r>
      <w:r w:rsidR="005834C7">
        <w:t>norovirus</w:t>
      </w:r>
      <w:r w:rsidRPr="00A35783">
        <w:t xml:space="preserve"> infection but was more likely to be positive for subjects </w:t>
      </w:r>
      <w:r>
        <w:t>who were 65 years or older</w:t>
      </w:r>
      <w:r w:rsidRPr="00A35783">
        <w:t>.</w:t>
      </w:r>
    </w:p>
    <w:p w14:paraId="117B3015" w14:textId="59720BD1"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or cost effectiveness of using saliva vs stool samples for </w:t>
      </w:r>
      <w:r w:rsidR="00962F76">
        <w:rPr>
          <w:rFonts w:cstheme="minorHAnsi"/>
        </w:rPr>
        <w:t>test</w:t>
      </w:r>
      <w:r>
        <w:rPr>
          <w:rFonts w:cstheme="minorHAnsi"/>
        </w:rPr>
        <w:t>ing patients with symptoms suggesting norovirus infection.</w:t>
      </w:r>
    </w:p>
    <w:p w14:paraId="3DF055C5" w14:textId="2A4CF25C"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time until sample was obtained using saliva vs stool specimens for </w:t>
      </w:r>
      <w:r w:rsidR="00962F76">
        <w:rPr>
          <w:rFonts w:cstheme="minorHAnsi"/>
        </w:rPr>
        <w:t>test</w:t>
      </w:r>
      <w:r>
        <w:rPr>
          <w:rFonts w:cstheme="minorHAnsi"/>
        </w:rPr>
        <w:t>ing patients with symptoms suggesting norovirus infection.</w:t>
      </w:r>
    </w:p>
    <w:p w14:paraId="48172CA0" w14:textId="7880723C"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w:t>
      </w:r>
      <w:r>
        <w:rPr>
          <w:rFonts w:cstheme="minorHAnsi"/>
        </w:rPr>
        <w:t xml:space="preserve">the ease of obtaining a sample when using saliva vs stool specimens for </w:t>
      </w:r>
      <w:r w:rsidR="00962F76">
        <w:rPr>
          <w:rFonts w:cstheme="minorHAnsi"/>
        </w:rPr>
        <w:t>test</w:t>
      </w:r>
      <w:r>
        <w:rPr>
          <w:rFonts w:cstheme="minorHAnsi"/>
        </w:rPr>
        <w:t>ing patients with symptoms suggesting norovirus infection.</w:t>
      </w:r>
    </w:p>
    <w:p w14:paraId="3C17C998" w14:textId="77777777" w:rsidR="0059429F" w:rsidRPr="00FD0C1D" w:rsidRDefault="0059429F" w:rsidP="00CF7116">
      <w:pPr>
        <w:pStyle w:val="Heading3"/>
        <w:spacing w:before="240" w:after="160" w:line="276" w:lineRule="auto"/>
      </w:pPr>
      <w:r>
        <w:t>Mouthwash</w:t>
      </w:r>
    </w:p>
    <w:p w14:paraId="779DB364" w14:textId="778D0D44" w:rsidR="0059429F" w:rsidRDefault="0059429F" w:rsidP="00CF7116">
      <w:pPr>
        <w:spacing w:before="240" w:line="276" w:lineRule="auto"/>
      </w:pPr>
      <w:r w:rsidRPr="0095272F">
        <w:t>There was</w:t>
      </w:r>
      <w:r w:rsidR="009A031D" w:rsidRPr="009A031D">
        <w:t xml:space="preserve"> weak</w:t>
      </w:r>
      <w:r w:rsidR="009A031D" w:rsidRPr="00B15BBD">
        <w:t xml:space="preserve"> </w:t>
      </w:r>
      <w:r w:rsidRPr="00B15BBD">
        <w:t>evidence</w:t>
      </w:r>
      <w:r>
        <w:t xml:space="preserve"> from one study</w:t>
      </w:r>
      <w:r>
        <w:rPr>
          <w:vertAlign w:val="superscript"/>
        </w:rPr>
        <w:t>1</w:t>
      </w:r>
      <w:r w:rsidR="00AE02F8">
        <w:rPr>
          <w:vertAlign w:val="superscript"/>
        </w:rPr>
        <w:t>04</w:t>
      </w:r>
      <w:r>
        <w:t xml:space="preserve"> which assessed the diagnostic accuracy of mouthwash specimen vs stool specimens for </w:t>
      </w:r>
      <w:r w:rsidR="00962F76">
        <w:t>test</w:t>
      </w:r>
      <w:r>
        <w:t xml:space="preserve">ing patients with symptoms suggesting norovirus infection. Mouthwash samples in this study were obtained by swirling 3ml of sterile water within the oral cavity, patients were known to have norovirus infection. The study reported that of a total of 66 individuals who had their stool samples tested, 59 were confirmed to be positive for norovirus. Of these 59 individuals, 14 (24%) also had positive mouthwash samples. </w:t>
      </w:r>
    </w:p>
    <w:p w14:paraId="77F80819" w14:textId="639A28F0" w:rsidR="0059429F" w:rsidRDefault="0059429F" w:rsidP="00CF7116">
      <w:pPr>
        <w:spacing w:before="240" w:line="276" w:lineRule="auto"/>
        <w:rPr>
          <w:rFonts w:cstheme="minorHAnsi"/>
        </w:rPr>
      </w:pPr>
      <w:r w:rsidRPr="002404F9">
        <w:rPr>
          <w:rFonts w:cstheme="minorHAnsi"/>
        </w:rPr>
        <w:lastRenderedPageBreak/>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or cost effectiveness of using mouthwash vs stool samples for </w:t>
      </w:r>
      <w:r w:rsidR="00962F76">
        <w:rPr>
          <w:rFonts w:cstheme="minorHAnsi"/>
        </w:rPr>
        <w:t>test</w:t>
      </w:r>
      <w:r>
        <w:rPr>
          <w:rFonts w:cstheme="minorHAnsi"/>
        </w:rPr>
        <w:t>ing patients with symptoms suggesting norovirus infection.</w:t>
      </w:r>
    </w:p>
    <w:p w14:paraId="015BA232" w14:textId="16ABEFDB"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time until sample was obtained using mouthwash vs stool specimens for </w:t>
      </w:r>
      <w:r w:rsidR="00962F76">
        <w:rPr>
          <w:rFonts w:cstheme="minorHAnsi"/>
        </w:rPr>
        <w:t>test</w:t>
      </w:r>
      <w:r>
        <w:rPr>
          <w:rFonts w:cstheme="minorHAnsi"/>
        </w:rPr>
        <w:t>ing patients with symptoms suggesting norovirus infection.</w:t>
      </w:r>
    </w:p>
    <w:p w14:paraId="3369F610" w14:textId="4AE69602"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w:t>
      </w:r>
      <w:r>
        <w:rPr>
          <w:rFonts w:cstheme="minorHAnsi"/>
        </w:rPr>
        <w:t xml:space="preserve">the ease of obtaining a sample when using mouthwash vs stool specimens for </w:t>
      </w:r>
      <w:r w:rsidR="00962F76">
        <w:rPr>
          <w:rFonts w:cstheme="minorHAnsi"/>
        </w:rPr>
        <w:t>test</w:t>
      </w:r>
      <w:r>
        <w:rPr>
          <w:rFonts w:cstheme="minorHAnsi"/>
        </w:rPr>
        <w:t>ing patients with symptoms suggesting norovirus infection.</w:t>
      </w:r>
    </w:p>
    <w:p w14:paraId="03118980" w14:textId="77777777" w:rsidR="0059429F" w:rsidRPr="00FD0C1D" w:rsidRDefault="0059429F" w:rsidP="00CF7116">
      <w:pPr>
        <w:pStyle w:val="Heading3"/>
        <w:spacing w:before="240" w:after="160" w:line="276" w:lineRule="auto"/>
      </w:pPr>
      <w:r>
        <w:t>Serum</w:t>
      </w:r>
    </w:p>
    <w:p w14:paraId="52D4AFA1" w14:textId="1F9966E6" w:rsidR="0059429F" w:rsidRDefault="0059429F" w:rsidP="00CF7116">
      <w:pPr>
        <w:spacing w:before="240" w:line="276" w:lineRule="auto"/>
      </w:pPr>
      <w:r w:rsidRPr="0095272F">
        <w:t>There was</w:t>
      </w:r>
      <w:r w:rsidR="009A031D" w:rsidRPr="009A031D">
        <w:t xml:space="preserve"> weak</w:t>
      </w:r>
      <w:r w:rsidR="009A031D" w:rsidRPr="00B15BBD">
        <w:t xml:space="preserve"> </w:t>
      </w:r>
      <w:r w:rsidRPr="00B15BBD">
        <w:t>evidence</w:t>
      </w:r>
      <w:r>
        <w:t xml:space="preserve"> from one study</w:t>
      </w:r>
      <w:r>
        <w:rPr>
          <w:vertAlign w:val="superscript"/>
        </w:rPr>
        <w:t>1</w:t>
      </w:r>
      <w:r w:rsidR="00AE02F8">
        <w:rPr>
          <w:vertAlign w:val="superscript"/>
        </w:rPr>
        <w:t>05</w:t>
      </w:r>
      <w:r>
        <w:t xml:space="preserve"> which assessed the diagnostic accuracy of serum samples vs stool specimens for </w:t>
      </w:r>
      <w:r w:rsidR="00962F76">
        <w:t>test</w:t>
      </w:r>
      <w:r>
        <w:t xml:space="preserve">ing patients with symptoms suggesting norovirus infection. The study reported that sensitivity was low (0.20 [CI95% 0.13-0.29]) while specificity was high (1.00 [CI95% 0.99-1.00]). </w:t>
      </w:r>
    </w:p>
    <w:p w14:paraId="4462978F" w14:textId="053D33FC"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or cost effectiveness of using serum vs stool samples for </w:t>
      </w:r>
      <w:r w:rsidR="00962F76">
        <w:rPr>
          <w:rFonts w:cstheme="minorHAnsi"/>
        </w:rPr>
        <w:t>test</w:t>
      </w:r>
      <w:r>
        <w:rPr>
          <w:rFonts w:cstheme="minorHAnsi"/>
        </w:rPr>
        <w:t>ing patients with symptoms suggesting norovirus infection.</w:t>
      </w:r>
    </w:p>
    <w:p w14:paraId="155D1681" w14:textId="5322B974"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time until sample was obtained using serum vs stool specimens for </w:t>
      </w:r>
      <w:r w:rsidR="00962F76">
        <w:rPr>
          <w:rFonts w:cstheme="minorHAnsi"/>
        </w:rPr>
        <w:t>test</w:t>
      </w:r>
      <w:r>
        <w:rPr>
          <w:rFonts w:cstheme="minorHAnsi"/>
        </w:rPr>
        <w:t>ing patients with symptoms suggesting norovirus infection.</w:t>
      </w:r>
    </w:p>
    <w:p w14:paraId="2F350644" w14:textId="63B6889C"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w:t>
      </w:r>
      <w:r>
        <w:rPr>
          <w:rFonts w:cstheme="minorHAnsi"/>
        </w:rPr>
        <w:t xml:space="preserve">the ease of obtaining a sample when using serum vs stool specimens for </w:t>
      </w:r>
      <w:r w:rsidR="00962F76">
        <w:rPr>
          <w:rFonts w:cstheme="minorHAnsi"/>
        </w:rPr>
        <w:t>test</w:t>
      </w:r>
      <w:r>
        <w:rPr>
          <w:rFonts w:cstheme="minorHAnsi"/>
        </w:rPr>
        <w:t>ing patients with symptoms suggesting norovirus infection.</w:t>
      </w:r>
    </w:p>
    <w:p w14:paraId="203E2969" w14:textId="77777777" w:rsidR="0059429F" w:rsidRPr="00FD0C1D" w:rsidRDefault="0059429F" w:rsidP="00CF7116">
      <w:pPr>
        <w:pStyle w:val="Heading3"/>
        <w:spacing w:before="240" w:after="160" w:line="276" w:lineRule="auto"/>
      </w:pPr>
      <w:r>
        <w:t>Throat</w:t>
      </w:r>
    </w:p>
    <w:p w14:paraId="0BC7584C" w14:textId="5B1BEE33" w:rsidR="0059429F" w:rsidRDefault="0059429F" w:rsidP="00CF7116">
      <w:pPr>
        <w:spacing w:before="240" w:line="276" w:lineRule="auto"/>
      </w:pPr>
      <w:r w:rsidRPr="0095272F">
        <w:t>There was</w:t>
      </w:r>
      <w:r w:rsidR="009A031D" w:rsidRPr="009A031D">
        <w:t xml:space="preserve"> weak</w:t>
      </w:r>
      <w:r w:rsidR="009A031D" w:rsidRPr="00B15BBD">
        <w:t xml:space="preserve"> </w:t>
      </w:r>
      <w:r w:rsidRPr="00B15BBD">
        <w:t>evidence</w:t>
      </w:r>
      <w:r>
        <w:t xml:space="preserve"> from one outbreak study</w:t>
      </w:r>
      <w:r w:rsidR="00AE02F8">
        <w:rPr>
          <w:vertAlign w:val="superscript"/>
        </w:rPr>
        <w:t>56</w:t>
      </w:r>
      <w:r>
        <w:t xml:space="preserve"> which assessed the accuracy of using throat samples vs stool specimens for </w:t>
      </w:r>
      <w:r w:rsidR="00962F76">
        <w:t>test</w:t>
      </w:r>
      <w:r>
        <w:t xml:space="preserve">ing patients with symptoms suggesting norovirus infection. The study reported that these specimens were not sensitive enough to use for </w:t>
      </w:r>
      <w:r w:rsidR="00962F76">
        <w:t>test</w:t>
      </w:r>
      <w:r>
        <w:t xml:space="preserve">ing with only two of 16 symptomatic patients (1.5%) testing positive. </w:t>
      </w:r>
    </w:p>
    <w:p w14:paraId="79930318" w14:textId="044EFBBC"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clinical or cost effectiveness of using throat vs stool samples for </w:t>
      </w:r>
      <w:r w:rsidR="00962F76">
        <w:rPr>
          <w:rFonts w:cstheme="minorHAnsi"/>
        </w:rPr>
        <w:t>test</w:t>
      </w:r>
      <w:r>
        <w:rPr>
          <w:rFonts w:cstheme="minorHAnsi"/>
        </w:rPr>
        <w:t>ing patients with symptoms suggesting norovirus infection.</w:t>
      </w:r>
    </w:p>
    <w:p w14:paraId="17EAA55C" w14:textId="7E926911"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time until sample was obtained using throat vs stool specimens for </w:t>
      </w:r>
      <w:r w:rsidR="00962F76">
        <w:rPr>
          <w:rFonts w:cstheme="minorHAnsi"/>
        </w:rPr>
        <w:t>test</w:t>
      </w:r>
      <w:r>
        <w:rPr>
          <w:rFonts w:cstheme="minorHAnsi"/>
        </w:rPr>
        <w:t>ing patients with symptoms suggesting norovirus infection.</w:t>
      </w:r>
    </w:p>
    <w:p w14:paraId="1FD674CB" w14:textId="0CFA33E3" w:rsidR="0059429F" w:rsidRDefault="0059429F"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w:t>
      </w:r>
      <w:r>
        <w:rPr>
          <w:rFonts w:cstheme="minorHAnsi"/>
        </w:rPr>
        <w:t xml:space="preserve">the ease of obtaining a sample when using throat vs stool specimens for </w:t>
      </w:r>
      <w:r w:rsidR="00962F76">
        <w:rPr>
          <w:rFonts w:cstheme="minorHAnsi"/>
        </w:rPr>
        <w:t>test</w:t>
      </w:r>
      <w:r>
        <w:rPr>
          <w:rFonts w:cstheme="minorHAnsi"/>
        </w:rPr>
        <w:t>ing patients with symptoms suggesting norovirus infection.</w:t>
      </w:r>
    </w:p>
    <w:p w14:paraId="4D5FAA30" w14:textId="3AAF168B" w:rsidR="009A031D" w:rsidRPr="009A031D" w:rsidRDefault="009A031D" w:rsidP="00CF7116">
      <w:pPr>
        <w:spacing w:before="240" w:line="276" w:lineRule="auto"/>
        <w:rPr>
          <w:rFonts w:cstheme="minorHAnsi"/>
          <w:i/>
          <w:iCs/>
        </w:rPr>
      </w:pPr>
      <w:r w:rsidRPr="009A031D">
        <w:rPr>
          <w:rFonts w:cstheme="minorHAnsi"/>
          <w:i/>
          <w:iCs/>
        </w:rPr>
        <w:t>The</w:t>
      </w:r>
      <w:r w:rsidR="00E47EC2">
        <w:rPr>
          <w:rFonts w:cstheme="minorHAnsi"/>
          <w:i/>
          <w:iCs/>
        </w:rPr>
        <w:t xml:space="preserve"> Working Party concluded that the current evidence was weak, but it suggests that there is a limited benefit for using </w:t>
      </w:r>
      <w:r w:rsidRPr="009A031D">
        <w:rPr>
          <w:rFonts w:cstheme="minorHAnsi"/>
          <w:i/>
          <w:iCs/>
        </w:rPr>
        <w:t xml:space="preserve">rectal swabs, </w:t>
      </w:r>
      <w:r w:rsidR="00E47EC2">
        <w:rPr>
          <w:rFonts w:cstheme="minorHAnsi"/>
          <w:i/>
          <w:iCs/>
        </w:rPr>
        <w:t xml:space="preserve">vomit samples and other specimens as alternatives to stool samples. These specimens appear to have </w:t>
      </w:r>
      <w:r w:rsidRPr="009A031D">
        <w:rPr>
          <w:rFonts w:cstheme="minorHAnsi"/>
          <w:i/>
          <w:iCs/>
        </w:rPr>
        <w:t>inadequate sensitivity for the diagnosis of norovirus infection compared to stool samples</w:t>
      </w:r>
      <w:r w:rsidR="00E47EC2">
        <w:rPr>
          <w:rFonts w:cstheme="minorHAnsi"/>
          <w:i/>
          <w:iCs/>
        </w:rPr>
        <w:t xml:space="preserve">, therefore a negative test does not guarantee the absence of </w:t>
      </w:r>
      <w:r w:rsidR="00E47EC2">
        <w:rPr>
          <w:rFonts w:cstheme="minorHAnsi"/>
          <w:i/>
          <w:iCs/>
        </w:rPr>
        <w:lastRenderedPageBreak/>
        <w:t xml:space="preserve">infection. If alternative specimens are used, confirmation from the stool sample would still be required to avoid false-negative results. </w:t>
      </w:r>
    </w:p>
    <w:p w14:paraId="014B5655" w14:textId="77777777" w:rsidR="0059429F" w:rsidRDefault="0059429F" w:rsidP="00CF7116">
      <w:pPr>
        <w:spacing w:before="240" w:line="276" w:lineRule="auto"/>
      </w:pPr>
    </w:p>
    <w:p w14:paraId="423BB267" w14:textId="77777777" w:rsidR="0059429F" w:rsidRPr="00E47EC2" w:rsidRDefault="0059429F" w:rsidP="00CF7116">
      <w:pPr>
        <w:spacing w:line="276" w:lineRule="auto"/>
        <w:rPr>
          <w:b/>
          <w:bCs/>
        </w:rPr>
      </w:pPr>
      <w:r w:rsidRPr="00E47EC2">
        <w:rPr>
          <w:b/>
          <w:bCs/>
        </w:rPr>
        <w:t>Recommendations:</w:t>
      </w:r>
    </w:p>
    <w:p w14:paraId="0737E3C0" w14:textId="5FBA11BB" w:rsidR="0059429F" w:rsidRPr="00DC6740" w:rsidRDefault="00E47EC2" w:rsidP="00CF7116">
      <w:pPr>
        <w:spacing w:before="240" w:line="276" w:lineRule="auto"/>
      </w:pPr>
      <w:r w:rsidRPr="00E47EC2">
        <w:rPr>
          <w:b/>
          <w:bCs/>
        </w:rPr>
        <w:t>11.1:</w:t>
      </w:r>
      <w:r>
        <w:t xml:space="preserve"> </w:t>
      </w:r>
      <w:r w:rsidR="009A031D" w:rsidRPr="009A031D">
        <w:t xml:space="preserve">Use faeces to </w:t>
      </w:r>
      <w:r w:rsidR="00962F76">
        <w:t>test</w:t>
      </w:r>
      <w:r>
        <w:t>.</w:t>
      </w:r>
    </w:p>
    <w:p w14:paraId="062902E3" w14:textId="77777777" w:rsidR="0059429F" w:rsidRPr="00E47EC2" w:rsidRDefault="0059429F" w:rsidP="00CF7116">
      <w:pPr>
        <w:spacing w:line="276" w:lineRule="auto"/>
        <w:rPr>
          <w:b/>
          <w:bCs/>
        </w:rPr>
      </w:pPr>
      <w:r w:rsidRPr="00E47EC2">
        <w:rPr>
          <w:b/>
          <w:bCs/>
        </w:rPr>
        <w:t>Good practice points:</w:t>
      </w:r>
    </w:p>
    <w:p w14:paraId="6E60728A" w14:textId="0397D09C" w:rsidR="0059429F" w:rsidRDefault="00E47EC2" w:rsidP="00CF7116">
      <w:pPr>
        <w:spacing w:before="240" w:line="276" w:lineRule="auto"/>
      </w:pPr>
      <w:r w:rsidRPr="00E47EC2">
        <w:rPr>
          <w:b/>
          <w:bCs/>
        </w:rPr>
        <w:t>GPP</w:t>
      </w:r>
      <w:r w:rsidR="00953810">
        <w:rPr>
          <w:b/>
          <w:bCs/>
        </w:rPr>
        <w:t xml:space="preserve"> </w:t>
      </w:r>
      <w:r w:rsidRPr="00E47EC2">
        <w:rPr>
          <w:b/>
          <w:bCs/>
        </w:rPr>
        <w:t>11.1:</w:t>
      </w:r>
      <w:r>
        <w:t xml:space="preserve"> </w:t>
      </w:r>
      <w:r w:rsidR="009A031D" w:rsidRPr="009A031D">
        <w:t xml:space="preserve">Use </w:t>
      </w:r>
      <w:r w:rsidR="00161B15">
        <w:t xml:space="preserve">a </w:t>
      </w:r>
      <w:r w:rsidR="009A031D" w:rsidRPr="009A031D">
        <w:t xml:space="preserve">rectal swab or vomit </w:t>
      </w:r>
      <w:r w:rsidR="00161B15">
        <w:t>sample</w:t>
      </w:r>
      <w:r>
        <w:t xml:space="preserve"> </w:t>
      </w:r>
      <w:r w:rsidR="009A031D" w:rsidRPr="009A031D">
        <w:t xml:space="preserve">if </w:t>
      </w:r>
      <w:r>
        <w:t xml:space="preserve">it is </w:t>
      </w:r>
      <w:r w:rsidR="009A031D" w:rsidRPr="009A031D">
        <w:t xml:space="preserve">not possible to use </w:t>
      </w:r>
      <w:r w:rsidRPr="009A031D">
        <w:t>faeces</w:t>
      </w:r>
      <w:r>
        <w:t xml:space="preserve"> but</w:t>
      </w:r>
      <w:r w:rsidR="009A031D" w:rsidRPr="009A031D">
        <w:t xml:space="preserve"> be aware that </w:t>
      </w:r>
      <w:r w:rsidR="006C356B">
        <w:t xml:space="preserve">detection of norovirus from </w:t>
      </w:r>
      <w:r w:rsidR="009A031D" w:rsidRPr="009A031D">
        <w:t>this specimen</w:t>
      </w:r>
      <w:r w:rsidR="00161B15">
        <w:t xml:space="preserve"> type</w:t>
      </w:r>
      <w:r w:rsidR="009A031D" w:rsidRPr="009A031D">
        <w:t xml:space="preserve"> is less sensitive than </w:t>
      </w:r>
      <w:r w:rsidR="006C356B">
        <w:t xml:space="preserve">from </w:t>
      </w:r>
      <w:r w:rsidR="00161B15">
        <w:t>a</w:t>
      </w:r>
      <w:r w:rsidR="006C356B">
        <w:t xml:space="preserve"> </w:t>
      </w:r>
      <w:r w:rsidR="009A031D" w:rsidRPr="009A031D">
        <w:t>stool sample</w:t>
      </w:r>
      <w:r>
        <w:t>.</w:t>
      </w:r>
    </w:p>
    <w:p w14:paraId="7826097D" w14:textId="77777777" w:rsidR="0059429F" w:rsidRDefault="0059429F" w:rsidP="00CF7116">
      <w:pPr>
        <w:spacing w:before="240" w:line="276" w:lineRule="auto"/>
      </w:pPr>
    </w:p>
    <w:p w14:paraId="6922D205" w14:textId="7BBC5D7A" w:rsidR="00E758C0" w:rsidRDefault="00E758C0" w:rsidP="00CF7116">
      <w:pPr>
        <w:pStyle w:val="Heading2"/>
        <w:spacing w:before="240" w:after="160" w:line="276" w:lineRule="auto"/>
      </w:pPr>
      <w:r>
        <w:t>8.12</w:t>
      </w:r>
      <w:r w:rsidRPr="00E758C0">
        <w:tab/>
      </w:r>
      <w:bookmarkStart w:id="13" w:name="_Hlk110262986"/>
      <w:r w:rsidRPr="00E758C0">
        <w:t>What is the clinical and cost-effectiveness of closing and cohorting in the areas/facilities affected by norovirus?</w:t>
      </w:r>
      <w:bookmarkEnd w:id="13"/>
    </w:p>
    <w:p w14:paraId="045B1187" w14:textId="0036EEAE" w:rsidR="00E758C0" w:rsidRDefault="00BF19CD" w:rsidP="00BF19CD">
      <w:pPr>
        <w:spacing w:before="240" w:line="276" w:lineRule="auto"/>
      </w:pPr>
      <w:bookmarkStart w:id="14" w:name="_Hlk109735286"/>
      <w:r w:rsidRPr="00BF19CD">
        <w:t>It is generally accepted that, once an outbreak of norovirus has been declared, affected areas, e.g. wards or bays, should be closed to admissions and transfers. This practice</w:t>
      </w:r>
      <w:r>
        <w:t>, which was recommended in previous UK guidelines,</w:t>
      </w:r>
      <w:r w:rsidR="00AC0F9C" w:rsidRPr="00AC0F9C">
        <w:rPr>
          <w:vertAlign w:val="superscript"/>
        </w:rPr>
        <w:t>1</w:t>
      </w:r>
      <w:r w:rsidRPr="00BF19CD">
        <w:t xml:space="preserve"> is employed widely, and it is argued that the earlier closure occurs the better in terms of limiting the overall size and duration of an outbreak. Closure involves restricting the movement of people (patients and staff), equipment, and materials (</w:t>
      </w:r>
      <w:r>
        <w:t>e.g.</w:t>
      </w:r>
      <w:r w:rsidRPr="00BF19CD">
        <w:t xml:space="preserve"> patient notes) as far as is practicable. Keeping access to a closed area to a minimum should lessen the risk of virus transmission. Admissions to a closed area are limited to patients (with or without symptoms) who have known exposure to norovirus. Closure creates cohorts of patients and staff to limit exposure of non-affected areas to norovirus. It can be difficult to assess the clinical and cost-effectiveness of closure and cohorting because they tend to be enacted as part of a bundle of measures to limit norovirus spread.</w:t>
      </w:r>
      <w:r w:rsidR="000E41A6">
        <w:t xml:space="preserve"> </w:t>
      </w:r>
    </w:p>
    <w:p w14:paraId="63C2AB7D" w14:textId="77777777" w:rsidR="00EC7A69" w:rsidRDefault="00EC7A69" w:rsidP="00CF7116">
      <w:pPr>
        <w:pStyle w:val="Heading3"/>
        <w:spacing w:line="276" w:lineRule="auto"/>
      </w:pPr>
      <w:r>
        <w:t>Effect of closing</w:t>
      </w:r>
    </w:p>
    <w:p w14:paraId="3E39CA5A" w14:textId="7915B6A4" w:rsidR="00EC7A69" w:rsidRDefault="00EC7A69" w:rsidP="00CF7116">
      <w:pPr>
        <w:spacing w:before="240" w:line="276" w:lineRule="auto"/>
      </w:pPr>
      <w:r w:rsidRPr="0095272F">
        <w:t xml:space="preserve">There was </w:t>
      </w:r>
      <w:r w:rsidRPr="002551F1">
        <w:t>moderate evidence</w:t>
      </w:r>
      <w:r>
        <w:t xml:space="preserve"> from two </w:t>
      </w:r>
      <w:r w:rsidR="00E2003E">
        <w:t>UBA</w:t>
      </w:r>
      <w:r>
        <w:t>,</w:t>
      </w:r>
      <w:r>
        <w:rPr>
          <w:vertAlign w:val="superscript"/>
        </w:rPr>
        <w:t>1</w:t>
      </w:r>
      <w:r w:rsidR="0023059C">
        <w:rPr>
          <w:vertAlign w:val="superscript"/>
        </w:rPr>
        <w:t>5,106</w:t>
      </w:r>
      <w:r>
        <w:t xml:space="preserve"> one cross-sectional</w:t>
      </w:r>
      <w:r w:rsidR="0023059C">
        <w:rPr>
          <w:vertAlign w:val="superscript"/>
        </w:rPr>
        <w:t>107</w:t>
      </w:r>
      <w:r>
        <w:t xml:space="preserve"> and 24 outbreak studies</w:t>
      </w:r>
      <w:r w:rsidR="0023059C" w:rsidRPr="0023059C">
        <w:rPr>
          <w:vertAlign w:val="superscript"/>
        </w:rPr>
        <w:t>14,19,22,23,25,28-32,34,38,40,56-58,108-115</w:t>
      </w:r>
      <w:r>
        <w:t xml:space="preserve"> which evaluated the effect of closing for controlling norovirus outbreaks in healthcare settings. One UBA study,</w:t>
      </w:r>
      <w:r w:rsidRPr="00FA6CC6">
        <w:rPr>
          <w:vertAlign w:val="superscript"/>
        </w:rPr>
        <w:t>1</w:t>
      </w:r>
      <w:r w:rsidR="0023059C">
        <w:rPr>
          <w:vertAlign w:val="superscript"/>
        </w:rPr>
        <w:t>06</w:t>
      </w:r>
      <w:r>
        <w:t xml:space="preserve"> which aimed to increase the number of bay closures in order to reduce </w:t>
      </w:r>
      <w:r w:rsidR="002551F1">
        <w:t xml:space="preserve">the </w:t>
      </w:r>
      <w:r>
        <w:t>closing of entire wards in hospital, reported that after an intervention</w:t>
      </w:r>
      <w:r w:rsidR="002551F1">
        <w:t>,</w:t>
      </w:r>
      <w:r>
        <w:t xml:space="preserve"> closing entire wards was necessary in 44 of 95 (54%) norovirus outbreaks compared to 36 of 40 (90%) of the outbreaks before the intervention (p-value not reported). This resulted in a reduction of the number of bed days closed during the outbreak by half (median 96 (IQR 28-175) after and 180 (IQR 102-259) before, p-value not reported) without an impact on the number of cases affected (median number of patients per outbreak 14 (IQR 11-18) after and 17 (IQR 11-21) before, median number of staff two</w:t>
      </w:r>
      <w:r w:rsidRPr="00FA6CC6">
        <w:t xml:space="preserve"> (IQR </w:t>
      </w:r>
      <w:r>
        <w:t>0-4</w:t>
      </w:r>
      <w:r w:rsidRPr="00FA6CC6">
        <w:t xml:space="preserve">) after and </w:t>
      </w:r>
      <w:r>
        <w:t>two</w:t>
      </w:r>
      <w:r w:rsidRPr="00FA6CC6">
        <w:t xml:space="preserve"> (IQR </w:t>
      </w:r>
      <w:r>
        <w:t>0-5</w:t>
      </w:r>
      <w:r w:rsidRPr="00FA6CC6">
        <w:t>) before</w:t>
      </w:r>
      <w:r>
        <w:t>; p-values not reported). A cross-sectional study</w:t>
      </w:r>
      <w:r w:rsidR="0023059C">
        <w:rPr>
          <w:vertAlign w:val="superscript"/>
        </w:rPr>
        <w:t>107</w:t>
      </w:r>
      <w:r>
        <w:t xml:space="preserve"> which assessed the characteristics of </w:t>
      </w:r>
      <w:r w:rsidR="002551F1">
        <w:t xml:space="preserve">3437 </w:t>
      </w:r>
      <w:r>
        <w:t xml:space="preserve">norovirus outbreaks </w:t>
      </w:r>
      <w:r w:rsidR="002551F1">
        <w:t xml:space="preserve">occurring </w:t>
      </w:r>
      <w:r>
        <w:t xml:space="preserve">in hospitals reported </w:t>
      </w:r>
      <w:r w:rsidR="002551F1">
        <w:t xml:space="preserve">a </w:t>
      </w:r>
      <w:r>
        <w:t xml:space="preserve">significant a difference in the duration of the outbreaks based on the timing of the ward closures (median seven days (IQR 4-10) for outbreaks when closures were introduced within three days, nine days (IQR 7-12) for closures within four to six days, 14 days (IQR 11-18) for </w:t>
      </w:r>
      <w:r>
        <w:lastRenderedPageBreak/>
        <w:t xml:space="preserve">closures after six days and six days (IQR 4-11) for outbreaks without ward closures, p&lt;0.001). The number </w:t>
      </w:r>
      <w:r w:rsidR="00161B15">
        <w:t xml:space="preserve">of </w:t>
      </w:r>
      <w:r>
        <w:t>patients and staff affected was also significantly different (</w:t>
      </w:r>
      <w:r w:rsidRPr="00FA6CC6">
        <w:t xml:space="preserve">median </w:t>
      </w:r>
      <w:r>
        <w:t>eleven patients</w:t>
      </w:r>
      <w:r w:rsidRPr="00FA6CC6">
        <w:t xml:space="preserve"> (IQR </w:t>
      </w:r>
      <w:r>
        <w:t>7-15</w:t>
      </w:r>
      <w:r w:rsidRPr="00FA6CC6">
        <w:t xml:space="preserve">) for outbreaks when closures were introduced within three days, </w:t>
      </w:r>
      <w:r>
        <w:t>twelve</w:t>
      </w:r>
      <w:r w:rsidRPr="00FA6CC6">
        <w:t xml:space="preserve"> </w:t>
      </w:r>
      <w:r>
        <w:t xml:space="preserve">patients </w:t>
      </w:r>
      <w:r w:rsidRPr="00FA6CC6">
        <w:t xml:space="preserve">(IQR </w:t>
      </w:r>
      <w:r>
        <w:t>9-16</w:t>
      </w:r>
      <w:r w:rsidRPr="00FA6CC6">
        <w:t>) for closures within four to six days, 14</w:t>
      </w:r>
      <w:r>
        <w:t>.5</w:t>
      </w:r>
      <w:r w:rsidRPr="00FA6CC6">
        <w:t xml:space="preserve"> </w:t>
      </w:r>
      <w:r>
        <w:t>patients</w:t>
      </w:r>
      <w:r w:rsidRPr="00FA6CC6">
        <w:t xml:space="preserve"> (IQR </w:t>
      </w:r>
      <w:r>
        <w:t>10</w:t>
      </w:r>
      <w:r w:rsidRPr="00FA6CC6">
        <w:t xml:space="preserve">-18) for closures after six days and </w:t>
      </w:r>
      <w:r>
        <w:t>seven patients</w:t>
      </w:r>
      <w:r w:rsidRPr="00FA6CC6">
        <w:t xml:space="preserve"> (</w:t>
      </w:r>
      <w:r>
        <w:t xml:space="preserve">IQR </w:t>
      </w:r>
      <w:r w:rsidRPr="00FA6CC6">
        <w:t>4-12) for outbreaks without ward closures, p&lt;0.001</w:t>
      </w:r>
      <w:r>
        <w:t xml:space="preserve">; median two staff (IQR 0-5) for outbreaks when closures were introduced within three days, three (IQR 1-6) for closures within four to six days, two (IQR 1-5) for closures after six days and one (IQR 0-3) for outbreaks without ward closures, p&lt;0.001). </w:t>
      </w:r>
      <w:r w:rsidR="002551F1">
        <w:t xml:space="preserve">It is not possible to determine the cause and effect of closures in these outbreaks. </w:t>
      </w:r>
      <w:r w:rsidR="002551F1" w:rsidRPr="00161B15">
        <w:t xml:space="preserve">It is therefore possible that the closures influenced the number of cases in these outbreaks or that the number of cases influenced the decision </w:t>
      </w:r>
      <w:r w:rsidR="00161B15" w:rsidRPr="00161B15">
        <w:t xml:space="preserve">as to </w:t>
      </w:r>
      <w:r w:rsidR="002551F1" w:rsidRPr="00161B15">
        <w:t>whether closures were needed or not.</w:t>
      </w:r>
      <w:r w:rsidR="002551F1">
        <w:t xml:space="preserve"> </w:t>
      </w:r>
      <w:r>
        <w:t>Another UBA study</w:t>
      </w:r>
      <w:r w:rsidR="0023059C">
        <w:rPr>
          <w:vertAlign w:val="superscript"/>
        </w:rPr>
        <w:t>15</w:t>
      </w:r>
      <w:r>
        <w:t xml:space="preserve"> which aimed to reduce the number of ward closures, introduced enhanced environmental cleaning and disinfection, converted Nightingale-style wards into bays with doors and introduced patients and staff cohorting during outbreaks. The study reported </w:t>
      </w:r>
      <w:r w:rsidR="00161B15">
        <w:t xml:space="preserve">that </w:t>
      </w:r>
      <w:r>
        <w:t>the median number of bed days lost per outbreak significantly reduced from eight to six days (relative change 0.742, p=0.041) and median number of days of restricted admissions to affected wards reduced from 29 to five days (relative change 0.344, p&lt;0.001) while the mean number of patients and staff affected by the outbreaks remained the same (mean 10.75 vs 9.95 patients, p=0.517 and mean 2.5 vs 3.84 staff, p=0.105). The authors concluded that ward closures were not always necessary and that an introduction of other control measures could either prevent the closures or reduce the number of days for the wards to remain closed. The outbreak studies reported different approaches to closures, which included bay closures,</w:t>
      </w:r>
      <w:r w:rsidR="0023059C">
        <w:rPr>
          <w:vertAlign w:val="superscript"/>
        </w:rPr>
        <w:t>108</w:t>
      </w:r>
      <w:r>
        <w:t xml:space="preserve"> closing wards or units,</w:t>
      </w:r>
      <w:r w:rsidR="0023059C" w:rsidRPr="0023059C">
        <w:rPr>
          <w:vertAlign w:val="superscript"/>
        </w:rPr>
        <w:t>14,19,22,23,25,28-32,34,38,40,56-58,108-11</w:t>
      </w:r>
      <w:r w:rsidR="0023059C">
        <w:rPr>
          <w:vertAlign w:val="superscript"/>
        </w:rPr>
        <w:t>4</w:t>
      </w:r>
      <w:r w:rsidR="0023059C">
        <w:t xml:space="preserve"> </w:t>
      </w:r>
      <w:r>
        <w:t>or closing the entire facilities.</w:t>
      </w:r>
      <w:r w:rsidR="0023059C">
        <w:rPr>
          <w:vertAlign w:val="superscript"/>
        </w:rPr>
        <w:t>31,115</w:t>
      </w:r>
      <w:r>
        <w:t xml:space="preserve"> The study in which bay closures were used</w:t>
      </w:r>
      <w:r w:rsidR="0023059C">
        <w:rPr>
          <w:vertAlign w:val="superscript"/>
        </w:rPr>
        <w:t>108</w:t>
      </w:r>
      <w:r>
        <w:t xml:space="preserve"> reported that an outbreak, which lasted 42 days (number of cases not reported) was not controlled and that only when phased ward cohorting was introduced</w:t>
      </w:r>
      <w:r w:rsidR="00161B15">
        <w:t xml:space="preserve"> did</w:t>
      </w:r>
      <w:r>
        <w:t xml:space="preserve"> the number of cases start to decline. A total 23 studies, describing 26 outbreaks reported that wards and units were closed. These outbreaks affected from three to 281 cases (median 42, based on 22 studies reporting 25 outbreaks</w:t>
      </w:r>
      <w:r w:rsidR="0023059C" w:rsidRPr="0023059C">
        <w:rPr>
          <w:vertAlign w:val="superscript"/>
        </w:rPr>
        <w:t>14,19,22,23,25,28-32,34,38,40,56-58,10</w:t>
      </w:r>
      <w:r w:rsidR="0023059C">
        <w:rPr>
          <w:vertAlign w:val="superscript"/>
        </w:rPr>
        <w:t>9</w:t>
      </w:r>
      <w:r w:rsidR="0023059C" w:rsidRPr="0023059C">
        <w:rPr>
          <w:vertAlign w:val="superscript"/>
        </w:rPr>
        <w:t>-11</w:t>
      </w:r>
      <w:r w:rsidR="0023059C">
        <w:rPr>
          <w:vertAlign w:val="superscript"/>
        </w:rPr>
        <w:t>4</w:t>
      </w:r>
      <w:r>
        <w:t xml:space="preserve">), lasting from three to 54 days (median 16 days). Fourteen (54%) of these studies reported that ward/unit closures, together with other control measures, were beneficial in controlling the outbreaks. Following the introduction of the interventions, the outbreaks affected </w:t>
      </w:r>
      <w:r w:rsidR="002551F1">
        <w:t xml:space="preserve">a </w:t>
      </w:r>
      <w:r>
        <w:t>further one to 98 cases (median 21, based on 13 studies reporting 14 outbreaks</w:t>
      </w:r>
      <w:r w:rsidR="0023059C">
        <w:t xml:space="preserve"> </w:t>
      </w:r>
      <w:r w:rsidR="0023059C" w:rsidRPr="0023059C">
        <w:rPr>
          <w:vertAlign w:val="superscript"/>
        </w:rPr>
        <w:t>19,22,23,25,28-32,34,56-58</w:t>
      </w:r>
      <w:r>
        <w:t>) and lasted</w:t>
      </w:r>
      <w:r w:rsidR="002551F1">
        <w:t xml:space="preserve"> a</w:t>
      </w:r>
      <w:r>
        <w:t xml:space="preserve"> further two to 19 days (median ten days, based on 14 studies reporting 16 outbreaks</w:t>
      </w:r>
      <w:r w:rsidR="0023059C" w:rsidRPr="0023059C">
        <w:rPr>
          <w:vertAlign w:val="superscript"/>
        </w:rPr>
        <w:t>19,22,23,25,28-32,34,</w:t>
      </w:r>
      <w:r w:rsidR="0023059C">
        <w:rPr>
          <w:vertAlign w:val="superscript"/>
        </w:rPr>
        <w:t>38,</w:t>
      </w:r>
      <w:r w:rsidR="0023059C" w:rsidRPr="0023059C">
        <w:rPr>
          <w:vertAlign w:val="superscript"/>
        </w:rPr>
        <w:t>56-58</w:t>
      </w:r>
      <w:r>
        <w:t>). Additionally two studies</w:t>
      </w:r>
      <w:r w:rsidR="0023059C">
        <w:rPr>
          <w:vertAlign w:val="superscript"/>
        </w:rPr>
        <w:t>31,115</w:t>
      </w:r>
      <w:r>
        <w:t>reported that the entire facilities were closed during the outbreak. One of these studies</w:t>
      </w:r>
      <w:r w:rsidR="0023059C">
        <w:rPr>
          <w:vertAlign w:val="superscript"/>
        </w:rPr>
        <w:t>31</w:t>
      </w:r>
      <w:r>
        <w:t xml:space="preserve"> reported that ward closures, which were introduced as a part of initial control measures</w:t>
      </w:r>
      <w:r w:rsidR="002551F1">
        <w:t>,</w:t>
      </w:r>
      <w:r>
        <w:t xml:space="preserve"> did not have an effect on an outbreak course. This was a large outbreak which affected 164 cases and lasted 18 days. The authors reported that the cases started to decline when the entire hospital was closed and other interventions were implemented, although it still affected </w:t>
      </w:r>
      <w:r w:rsidR="002551F1">
        <w:t xml:space="preserve">a </w:t>
      </w:r>
      <w:r>
        <w:t>further 60 cases and lasted</w:t>
      </w:r>
      <w:r w:rsidR="001128A6">
        <w:t xml:space="preserve"> eleven </w:t>
      </w:r>
      <w:r>
        <w:t>days. Another study</w:t>
      </w:r>
      <w:r w:rsidR="0023059C">
        <w:rPr>
          <w:vertAlign w:val="superscript"/>
        </w:rPr>
        <w:t>115</w:t>
      </w:r>
      <w:r>
        <w:t xml:space="preserve"> reported a common source norovirus outbreak which affected 195 cases across four hospitals and three affiliated rehabilitation units and lasted twelve days. The authors reported that the entire facility closed for ten days which, together with other control measures</w:t>
      </w:r>
      <w:r w:rsidR="002551F1">
        <w:t>,</w:t>
      </w:r>
      <w:r>
        <w:t xml:space="preserve"> resulted in termination of an outbreak. </w:t>
      </w:r>
    </w:p>
    <w:p w14:paraId="4A14C6C5" w14:textId="1360E5F4" w:rsidR="00EC7A69" w:rsidRDefault="00EC7A69" w:rsidP="00CF7116">
      <w:pPr>
        <w:spacing w:before="240" w:line="276" w:lineRule="auto"/>
      </w:pPr>
      <w:r w:rsidRPr="0095272F">
        <w:t xml:space="preserve">There was </w:t>
      </w:r>
      <w:r w:rsidRPr="002551F1">
        <w:t>weak evidence</w:t>
      </w:r>
      <w:r>
        <w:t xml:space="preserve"> from one cross-sectional study</w:t>
      </w:r>
      <w:r w:rsidR="0023059C">
        <w:rPr>
          <w:vertAlign w:val="superscript"/>
        </w:rPr>
        <w:t>116</w:t>
      </w:r>
      <w:r>
        <w:t xml:space="preserve"> and six outbreak studies</w:t>
      </w:r>
      <w:r w:rsidR="0023059C" w:rsidRPr="0023059C">
        <w:rPr>
          <w:vertAlign w:val="superscript"/>
        </w:rPr>
        <w:t>43,44,46,117,118</w:t>
      </w:r>
      <w:r w:rsidRPr="00FA6CC6">
        <w:t xml:space="preserve"> </w:t>
      </w:r>
      <w:r>
        <w:t>which evaluated the effect of closing for controlling norovirus outbreaks outside healthcare settings. The cross-sectional study,</w:t>
      </w:r>
      <w:r w:rsidR="0023059C" w:rsidRPr="0023059C">
        <w:rPr>
          <w:vertAlign w:val="superscript"/>
        </w:rPr>
        <w:t>116</w:t>
      </w:r>
      <w:r>
        <w:t xml:space="preserve"> which investigated outbreaks in schools and </w:t>
      </w:r>
      <w:r w:rsidR="002551F1">
        <w:t xml:space="preserve">“elderly care facilities” (not </w:t>
      </w:r>
      <w:r w:rsidR="002551F1">
        <w:lastRenderedPageBreak/>
        <w:t>specified)</w:t>
      </w:r>
      <w:r>
        <w:t xml:space="preserve"> reported that median attack rates were significantly different when comparing the outbreaks in which units were closed (1.7%, IQR 1.0-3.2), entire facilities were closed (4.1%, IQR 2.7-5.9) and when symptomatic cases were isolated (2.2% IQR 1.2-3.8, p=0.006), although there was no difference in the duration of an outbreak</w:t>
      </w:r>
      <w:r w:rsidR="002551F1">
        <w:t>,</w:t>
      </w:r>
      <w:r>
        <w:t xml:space="preserve"> median 5.0 days (IQR 3.0-7.0) for outbreaks in which units were closed, 5.0 days (IQR 3.5-13.5) when entire facilities were closed and 3.0 days (IQR 2.0-10.0) when symptomatic cases were isolated (p=0.167). The authors did not report how the decision to close was made. Five outbreak studies</w:t>
      </w:r>
      <w:r w:rsidR="0023059C" w:rsidRPr="0023059C">
        <w:rPr>
          <w:vertAlign w:val="superscript"/>
        </w:rPr>
        <w:t>43,44,46,117,118</w:t>
      </w:r>
      <w:r w:rsidR="0023059C" w:rsidRPr="0023059C">
        <w:t xml:space="preserve"> </w:t>
      </w:r>
      <w:r>
        <w:t>reported closing entire facilities to control an outbreak. These outbreaks affected between 77 and over 800 cases (median 158) and lasted from five to 22 days (median 18 days). All five studies reported that closing</w:t>
      </w:r>
      <w:r w:rsidR="00161B15">
        <w:t>,</w:t>
      </w:r>
      <w:r>
        <w:t xml:space="preserve"> together with other control measures, resulted in outbreak resolution. After the closures two studies reported that three</w:t>
      </w:r>
      <w:r w:rsidR="0023059C">
        <w:rPr>
          <w:vertAlign w:val="superscript"/>
        </w:rPr>
        <w:t>44</w:t>
      </w:r>
      <w:r>
        <w:t xml:space="preserve"> and five</w:t>
      </w:r>
      <w:r w:rsidR="0023059C">
        <w:rPr>
          <w:vertAlign w:val="superscript"/>
        </w:rPr>
        <w:t>43</w:t>
      </w:r>
      <w:r>
        <w:t xml:space="preserve"> further cases occurred and three studies reported that the outbreak lasted for a further one,</w:t>
      </w:r>
      <w:r w:rsidR="0023059C">
        <w:rPr>
          <w:vertAlign w:val="superscript"/>
        </w:rPr>
        <w:t>44</w:t>
      </w:r>
      <w:r>
        <w:t xml:space="preserve"> two</w:t>
      </w:r>
      <w:r w:rsidR="0023059C">
        <w:rPr>
          <w:vertAlign w:val="superscript"/>
        </w:rPr>
        <w:t>44</w:t>
      </w:r>
      <w:r>
        <w:t xml:space="preserve"> and 15 days.</w:t>
      </w:r>
      <w:r w:rsidR="0023059C">
        <w:rPr>
          <w:vertAlign w:val="superscript"/>
        </w:rPr>
        <w:t>46</w:t>
      </w:r>
      <w:r>
        <w:t xml:space="preserve"> One study of an outbreak, which occurred in a senior residence community</w:t>
      </w:r>
      <w:r w:rsidR="0023059C">
        <w:rPr>
          <w:vertAlign w:val="superscript"/>
        </w:rPr>
        <w:t>119</w:t>
      </w:r>
      <w:r>
        <w:t xml:space="preserve"> and affected 307 cases over seven weeks, reported that the management decide to close some facilities (e.g. </w:t>
      </w:r>
      <w:r w:rsidR="002551F1">
        <w:t xml:space="preserve">a </w:t>
      </w:r>
      <w:r>
        <w:t xml:space="preserve">café and a shop) and to inform new residents of an outbreak so that they could decide whether they would delay their admission. The authors did not specifically report whether this approach was beneficial, however they mentioned that due to the nature of the community, many traditional control measures, including closures, were challenging to implement. </w:t>
      </w:r>
    </w:p>
    <w:p w14:paraId="1A1A58DF" w14:textId="1914A9D1" w:rsidR="00EC7A69" w:rsidRDefault="00EC7A69" w:rsidP="00CF7116">
      <w:pPr>
        <w:spacing w:before="240" w:line="276" w:lineRule="auto"/>
      </w:pPr>
      <w:r>
        <w:t>There was additional evidence from an excluded study</w:t>
      </w:r>
      <w:r w:rsidR="0023059C">
        <w:rPr>
          <w:vertAlign w:val="superscript"/>
        </w:rPr>
        <w:t>120</w:t>
      </w:r>
      <w:r>
        <w:t xml:space="preserve"> which reported the results of the s</w:t>
      </w:r>
      <w:r w:rsidRPr="00FA6CC6">
        <w:t xml:space="preserve">urveillance of </w:t>
      </w:r>
      <w:r>
        <w:t xml:space="preserve">the </w:t>
      </w:r>
      <w:r w:rsidRPr="00FA6CC6">
        <w:t xml:space="preserve">outbreaks in hospital wards </w:t>
      </w:r>
      <w:r>
        <w:t xml:space="preserve">undertaken </w:t>
      </w:r>
      <w:r w:rsidRPr="00FA6CC6">
        <w:t xml:space="preserve">over </w:t>
      </w:r>
      <w:r>
        <w:t xml:space="preserve">a </w:t>
      </w:r>
      <w:r w:rsidRPr="00FA6CC6">
        <w:t>one year</w:t>
      </w:r>
      <w:r>
        <w:t xml:space="preserve"> period</w:t>
      </w:r>
      <w:r w:rsidRPr="00FA6CC6">
        <w:t xml:space="preserve">. </w:t>
      </w:r>
      <w:r>
        <w:t>It was</w:t>
      </w:r>
      <w:r w:rsidRPr="00FA6CC6">
        <w:t xml:space="preserve"> reported </w:t>
      </w:r>
      <w:r>
        <w:t>that d</w:t>
      </w:r>
      <w:r w:rsidRPr="00FA6CC6">
        <w:t>uring 24</w:t>
      </w:r>
      <w:r>
        <w:t>/54</w:t>
      </w:r>
      <w:r w:rsidRPr="00FA6CC6">
        <w:t xml:space="preserve"> (56%) of the outbreaks, the wards closed to admission</w:t>
      </w:r>
      <w:r>
        <w:t>s</w:t>
      </w:r>
      <w:r w:rsidRPr="00FA6CC6">
        <w:t xml:space="preserve"> </w:t>
      </w:r>
      <w:r>
        <w:t>for a period of three to seven days.</w:t>
      </w:r>
      <w:r w:rsidRPr="00FA6CC6">
        <w:t xml:space="preserve"> The authors reported </w:t>
      </w:r>
      <w:r w:rsidR="00161B15">
        <w:t xml:space="preserve">that </w:t>
      </w:r>
      <w:r w:rsidRPr="00FA6CC6">
        <w:t>the higher patient turnover</w:t>
      </w:r>
      <w:r>
        <w:t xml:space="preserve"> resulted in</w:t>
      </w:r>
      <w:r w:rsidRPr="00FA6CC6">
        <w:t xml:space="preserve"> </w:t>
      </w:r>
      <w:r w:rsidR="00161B15">
        <w:t>a</w:t>
      </w:r>
      <w:r w:rsidRPr="00FA6CC6">
        <w:t xml:space="preserve"> longer duration of the outbreaks</w:t>
      </w:r>
      <w:r>
        <w:t xml:space="preserve">. They </w:t>
      </w:r>
      <w:r w:rsidRPr="00FA6CC6">
        <w:t xml:space="preserve">illustrated this by reporting one outbreak in </w:t>
      </w:r>
      <w:r>
        <w:t xml:space="preserve">a </w:t>
      </w:r>
      <w:r w:rsidRPr="00FA6CC6">
        <w:t>geriatric care unit which was not terminated until the unit closed for one week.</w:t>
      </w:r>
      <w:r>
        <w:t xml:space="preserve"> </w:t>
      </w:r>
    </w:p>
    <w:p w14:paraId="7FD02CAA" w14:textId="77777777" w:rsidR="00EC7A69" w:rsidRDefault="00EC7A69" w:rsidP="00CF7116">
      <w:pPr>
        <w:pStyle w:val="Heading3"/>
        <w:spacing w:line="276" w:lineRule="auto"/>
      </w:pPr>
      <w:r>
        <w:t>Effect of cohorting</w:t>
      </w:r>
    </w:p>
    <w:p w14:paraId="704E64CD" w14:textId="532682FC" w:rsidR="00EC7A69" w:rsidRDefault="00EC7A69" w:rsidP="00CF7116">
      <w:pPr>
        <w:spacing w:before="240" w:line="276" w:lineRule="auto"/>
      </w:pPr>
      <w:r w:rsidRPr="0095272F">
        <w:t xml:space="preserve">There was </w:t>
      </w:r>
      <w:r w:rsidRPr="002551F1">
        <w:t>inconsistent evidence from</w:t>
      </w:r>
      <w:r>
        <w:t xml:space="preserve"> one cross-sectional study</w:t>
      </w:r>
      <w:r w:rsidR="003D1EE3">
        <w:rPr>
          <w:vertAlign w:val="superscript"/>
        </w:rPr>
        <w:t>21</w:t>
      </w:r>
      <w:r>
        <w:t xml:space="preserve"> and 23 outbreak studies,</w:t>
      </w:r>
      <w:r w:rsidR="003D1EE3" w:rsidRPr="003D1EE3">
        <w:rPr>
          <w:vertAlign w:val="superscript"/>
        </w:rPr>
        <w:t>14,22-26,28,29,31,36,40,50,55-57,62,109-111,113,121-123</w:t>
      </w:r>
      <w:r>
        <w:t xml:space="preserve"> which reported using cohorting to control norovirus outbreaks in healthcare settings. The cross-sectional study</w:t>
      </w:r>
      <w:r w:rsidR="003D1EE3">
        <w:rPr>
          <w:vertAlign w:val="superscript"/>
        </w:rPr>
        <w:t>21</w:t>
      </w:r>
      <w:r>
        <w:t xml:space="preserve"> reported no significant difference in the incidence of resident norovirus infections in nursing homes which used cohorting vs those which did not (OR </w:t>
      </w:r>
      <w:r w:rsidRPr="00D40181">
        <w:t>0.66 [</w:t>
      </w:r>
      <w:r>
        <w:t xml:space="preserve">95%CI </w:t>
      </w:r>
      <w:r w:rsidRPr="00D40181">
        <w:t>0.40-1.09], p=NS</w:t>
      </w:r>
      <w:r>
        <w:t>). The outbreak studies used different approaches to cohorting. A total of 22 studies,</w:t>
      </w:r>
      <w:r w:rsidR="003D1EE3" w:rsidRPr="003D1EE3">
        <w:rPr>
          <w:vertAlign w:val="superscript"/>
        </w:rPr>
        <w:t>14,22,23,25,26,28,29,31,36,40,50,55</w:t>
      </w:r>
      <w:r w:rsidR="003D1EE3">
        <w:rPr>
          <w:vertAlign w:val="superscript"/>
        </w:rPr>
        <w:t>-</w:t>
      </w:r>
      <w:r w:rsidR="003D1EE3" w:rsidRPr="003D1EE3">
        <w:rPr>
          <w:vertAlign w:val="superscript"/>
        </w:rPr>
        <w:t>57,62,109-111,113,121-123</w:t>
      </w:r>
      <w:r>
        <w:t xml:space="preserve"> described 27 outbreaks which affected between three and 355 cases (median 29) and lasted three days to over two months (median 15 days, based on 21 studies reporting 26 outbreaks</w:t>
      </w:r>
      <w:r w:rsidR="003D1EE3" w:rsidRPr="003D1EE3">
        <w:rPr>
          <w:vertAlign w:val="superscript"/>
        </w:rPr>
        <w:t>14,22,23,25,26,29,31,36,40,50,55</w:t>
      </w:r>
      <w:r w:rsidR="003D1EE3">
        <w:rPr>
          <w:vertAlign w:val="superscript"/>
        </w:rPr>
        <w:t>-</w:t>
      </w:r>
      <w:r w:rsidR="003D1EE3" w:rsidRPr="003D1EE3">
        <w:rPr>
          <w:vertAlign w:val="superscript"/>
        </w:rPr>
        <w:t>57,62,109-111,121-123</w:t>
      </w:r>
      <w:r>
        <w:t xml:space="preserve">). Of these studies, 14 (64%) found patient cohorting beneficial when introduced as a part of the control measures. Following the introduction of the control measures, the outbreaks affected </w:t>
      </w:r>
      <w:r w:rsidR="00161B15">
        <w:t xml:space="preserve">a </w:t>
      </w:r>
      <w:r>
        <w:t>further one to 98 cases (median seven, based on eleven studies</w:t>
      </w:r>
      <w:r w:rsidR="003D1EE3" w:rsidRPr="003D1EE3">
        <w:rPr>
          <w:vertAlign w:val="superscript"/>
        </w:rPr>
        <w:t>22,23,25,28,29,31,36,55-57,62</w:t>
      </w:r>
      <w:r>
        <w:t xml:space="preserve">) and lasted </w:t>
      </w:r>
      <w:r w:rsidR="00161B15">
        <w:t xml:space="preserve">for a </w:t>
      </w:r>
      <w:r>
        <w:t>further two to 19 days (median eight days, based on twelve studies</w:t>
      </w:r>
      <w:r w:rsidR="003D1EE3" w:rsidRPr="003D1EE3">
        <w:rPr>
          <w:vertAlign w:val="superscript"/>
        </w:rPr>
        <w:t>22,23,25,28,29,31,36,55-57,62,121</w:t>
      </w:r>
      <w:r>
        <w:t>). Four studies described seven outbreaks in which patients were cohorted by wards.</w:t>
      </w:r>
      <w:r w:rsidR="003D1EE3" w:rsidRPr="003D1EE3">
        <w:rPr>
          <w:vertAlign w:val="superscript"/>
        </w:rPr>
        <w:t>24,32,108,123</w:t>
      </w:r>
      <w:r>
        <w:t xml:space="preserve"> These outbreaks affected between 13 and 145 cases (median 42, based on three studies reporting six outbreaks</w:t>
      </w:r>
      <w:r w:rsidR="003D1EE3" w:rsidRPr="003D1EE3">
        <w:rPr>
          <w:vertAlign w:val="superscript"/>
        </w:rPr>
        <w:t>24,32,123</w:t>
      </w:r>
      <w:r>
        <w:t>), lasting nine to 63 days (median 19 days). Three (75%) of these studies reported that cohorting by wards was beneficial. One of these studies</w:t>
      </w:r>
      <w:r w:rsidR="003D1EE3">
        <w:rPr>
          <w:vertAlign w:val="superscript"/>
        </w:rPr>
        <w:t>108</w:t>
      </w:r>
      <w:r>
        <w:t xml:space="preserve"> specifically stated that the previously introduced control measures, which included closing bays and wards had no effect on the outbreak course. The authors reported that they decided to introduce a phased ward cohorting following which the outbreak was controlled within 16 days. The one study which did not report a benefit of cohorting by wards,</w:t>
      </w:r>
      <w:r w:rsidR="003D1EE3">
        <w:rPr>
          <w:vertAlign w:val="superscript"/>
        </w:rPr>
        <w:t xml:space="preserve">24 </w:t>
      </w:r>
      <w:r>
        <w:lastRenderedPageBreak/>
        <w:t xml:space="preserve">described a large outbreak which affected 146 cases and lasted 63 days. The authors reported that it was challenging to due to the staff and residents not complying with suggested interventions. </w:t>
      </w:r>
    </w:p>
    <w:p w14:paraId="0A7DEDCF" w14:textId="3AA00CAA" w:rsidR="00EC7A69" w:rsidRDefault="00EC7A69" w:rsidP="00CF7116">
      <w:pPr>
        <w:spacing w:before="240" w:line="276" w:lineRule="auto"/>
      </w:pPr>
      <w:r w:rsidRPr="0095272F">
        <w:t xml:space="preserve">There was </w:t>
      </w:r>
      <w:r w:rsidRPr="002551F1">
        <w:t>weak evidence</w:t>
      </w:r>
      <w:r>
        <w:t xml:space="preserve"> from one outbreak study,</w:t>
      </w:r>
      <w:r w:rsidR="003D1EE3">
        <w:rPr>
          <w:vertAlign w:val="superscript"/>
        </w:rPr>
        <w:t>124</w:t>
      </w:r>
      <w:r>
        <w:t xml:space="preserve"> which reported cohorting hotel guests. This was a large outbreak in a hotel which affected over 1000 cases and lasted over 26 weeks. The authors reported that the hotel ensured that, as a part of control measures, </w:t>
      </w:r>
      <w:r w:rsidR="00161B15">
        <w:t xml:space="preserve">that </w:t>
      </w:r>
      <w:r>
        <w:t xml:space="preserve">there was no contact between the groups of arriving and leaving guests. It was reported that these interventions did not </w:t>
      </w:r>
      <w:r w:rsidR="000D077E">
        <w:t>influence</w:t>
      </w:r>
      <w:r>
        <w:t xml:space="preserve"> the outbreak. </w:t>
      </w:r>
    </w:p>
    <w:p w14:paraId="2BF962EB" w14:textId="2E25F949" w:rsidR="002551F1" w:rsidRPr="002551F1" w:rsidRDefault="007261D0" w:rsidP="00CF7116">
      <w:pPr>
        <w:spacing w:before="240" w:line="276" w:lineRule="auto"/>
        <w:rPr>
          <w:i/>
          <w:iCs/>
        </w:rPr>
      </w:pPr>
      <w:r w:rsidRPr="007261D0">
        <w:rPr>
          <w:i/>
          <w:iCs/>
        </w:rPr>
        <w:t>The</w:t>
      </w:r>
      <w:r w:rsidR="000D077E">
        <w:rPr>
          <w:i/>
          <w:iCs/>
        </w:rPr>
        <w:t xml:space="preserve"> Working Party agreed that there </w:t>
      </w:r>
      <w:r w:rsidRPr="007261D0">
        <w:rPr>
          <w:i/>
          <w:iCs/>
        </w:rPr>
        <w:t xml:space="preserve">is moderate evidence to support rapid closure of clinical areas affected by </w:t>
      </w:r>
      <w:r w:rsidR="000D077E">
        <w:rPr>
          <w:i/>
          <w:iCs/>
        </w:rPr>
        <w:t>norovirus</w:t>
      </w:r>
      <w:r w:rsidRPr="007261D0">
        <w:rPr>
          <w:i/>
          <w:iCs/>
        </w:rPr>
        <w:t xml:space="preserve"> outbreaks, but </w:t>
      </w:r>
      <w:r w:rsidR="000D077E">
        <w:rPr>
          <w:i/>
          <w:iCs/>
        </w:rPr>
        <w:t xml:space="preserve">that there is little </w:t>
      </w:r>
      <w:r w:rsidRPr="007261D0">
        <w:rPr>
          <w:i/>
          <w:iCs/>
        </w:rPr>
        <w:t xml:space="preserve">evidence </w:t>
      </w:r>
      <w:r w:rsidR="000D077E">
        <w:rPr>
          <w:i/>
          <w:iCs/>
        </w:rPr>
        <w:t xml:space="preserve">for the </w:t>
      </w:r>
      <w:r w:rsidRPr="007261D0">
        <w:rPr>
          <w:i/>
          <w:iCs/>
        </w:rPr>
        <w:t xml:space="preserve">benefit </w:t>
      </w:r>
      <w:r w:rsidR="000D077E">
        <w:rPr>
          <w:i/>
          <w:iCs/>
        </w:rPr>
        <w:t>of</w:t>
      </w:r>
      <w:r w:rsidRPr="007261D0">
        <w:rPr>
          <w:i/>
          <w:iCs/>
        </w:rPr>
        <w:t xml:space="preserve"> cohorting within affected areas.</w:t>
      </w:r>
      <w:r w:rsidR="000D077E">
        <w:rPr>
          <w:i/>
          <w:iCs/>
        </w:rPr>
        <w:t xml:space="preserve"> The decision to close the clinical areas is difficult as this may not be required in all outbreaks and there will be situations where closing may have a detrimental effect (clinical and financial). Thus, the Working Party recommends that the n</w:t>
      </w:r>
      <w:r w:rsidR="002551F1" w:rsidRPr="002551F1">
        <w:rPr>
          <w:i/>
          <w:iCs/>
        </w:rPr>
        <w:t xml:space="preserve">eed </w:t>
      </w:r>
      <w:r w:rsidR="000D077E">
        <w:rPr>
          <w:i/>
          <w:iCs/>
        </w:rPr>
        <w:t xml:space="preserve">for closure should be </w:t>
      </w:r>
      <w:r w:rsidR="002551F1" w:rsidRPr="002551F1">
        <w:rPr>
          <w:i/>
          <w:iCs/>
        </w:rPr>
        <w:t>regularly assess</w:t>
      </w:r>
      <w:r w:rsidR="000D077E">
        <w:rPr>
          <w:i/>
          <w:iCs/>
        </w:rPr>
        <w:t>ed</w:t>
      </w:r>
      <w:r w:rsidR="002551F1" w:rsidRPr="002551F1">
        <w:rPr>
          <w:i/>
          <w:iCs/>
        </w:rPr>
        <w:t xml:space="preserve"> </w:t>
      </w:r>
      <w:r w:rsidR="000D077E">
        <w:rPr>
          <w:i/>
          <w:iCs/>
        </w:rPr>
        <w:t xml:space="preserve">throughout the course of an outbreak and that the risk of doing so does not overweigh the benefits of closing. Some of the factors that need to be considered include </w:t>
      </w:r>
      <w:r w:rsidR="002551F1" w:rsidRPr="002551F1">
        <w:rPr>
          <w:i/>
          <w:iCs/>
        </w:rPr>
        <w:t>the type of ward/</w:t>
      </w:r>
      <w:r w:rsidR="000D077E">
        <w:rPr>
          <w:i/>
          <w:iCs/>
        </w:rPr>
        <w:t xml:space="preserve"> </w:t>
      </w:r>
      <w:r w:rsidR="002551F1" w:rsidRPr="002551F1">
        <w:rPr>
          <w:i/>
          <w:iCs/>
        </w:rPr>
        <w:t>area/</w:t>
      </w:r>
      <w:r w:rsidR="000D077E">
        <w:rPr>
          <w:i/>
          <w:iCs/>
        </w:rPr>
        <w:t xml:space="preserve"> </w:t>
      </w:r>
      <w:r w:rsidR="002551F1" w:rsidRPr="002551F1">
        <w:rPr>
          <w:i/>
          <w:iCs/>
        </w:rPr>
        <w:t xml:space="preserve">facility, </w:t>
      </w:r>
      <w:r w:rsidR="006C356B">
        <w:rPr>
          <w:i/>
          <w:iCs/>
        </w:rPr>
        <w:t>patient risk factors</w:t>
      </w:r>
      <w:r w:rsidR="002551F1" w:rsidRPr="002551F1">
        <w:rPr>
          <w:i/>
          <w:iCs/>
        </w:rPr>
        <w:t xml:space="preserve">, design of facilities, </w:t>
      </w:r>
      <w:r w:rsidR="000D077E">
        <w:rPr>
          <w:i/>
          <w:iCs/>
        </w:rPr>
        <w:t xml:space="preserve">the availability of </w:t>
      </w:r>
      <w:r w:rsidR="002551F1" w:rsidRPr="002551F1">
        <w:rPr>
          <w:i/>
          <w:iCs/>
        </w:rPr>
        <w:t>shared facilities</w:t>
      </w:r>
      <w:r w:rsidR="000D077E">
        <w:rPr>
          <w:i/>
          <w:iCs/>
        </w:rPr>
        <w:t xml:space="preserve">, </w:t>
      </w:r>
      <w:r w:rsidR="002551F1" w:rsidRPr="002551F1">
        <w:rPr>
          <w:i/>
          <w:iCs/>
        </w:rPr>
        <w:t>staffing levels, the number of affected</w:t>
      </w:r>
      <w:r w:rsidR="000D077E">
        <w:rPr>
          <w:i/>
          <w:iCs/>
        </w:rPr>
        <w:t xml:space="preserve"> patients and other </w:t>
      </w:r>
      <w:r w:rsidR="002551F1" w:rsidRPr="002551F1">
        <w:rPr>
          <w:i/>
          <w:iCs/>
        </w:rPr>
        <w:t>contextual circumstances</w:t>
      </w:r>
      <w:r w:rsidR="000D077E">
        <w:rPr>
          <w:i/>
          <w:iCs/>
        </w:rPr>
        <w:t xml:space="preserve">. </w:t>
      </w:r>
    </w:p>
    <w:p w14:paraId="1C18CFE1" w14:textId="77777777" w:rsidR="00EC7A69" w:rsidRPr="000D077E" w:rsidRDefault="00EC7A69" w:rsidP="00CF7116">
      <w:pPr>
        <w:spacing w:line="276" w:lineRule="auto"/>
        <w:rPr>
          <w:b/>
          <w:bCs/>
        </w:rPr>
      </w:pPr>
      <w:r w:rsidRPr="000D077E">
        <w:rPr>
          <w:b/>
          <w:bCs/>
        </w:rPr>
        <w:t>Recommendations:</w:t>
      </w:r>
    </w:p>
    <w:p w14:paraId="7EEBAE9F" w14:textId="4BD8B658" w:rsidR="00EC7A69" w:rsidRPr="009E6247" w:rsidRDefault="000D077E" w:rsidP="00CF7116">
      <w:pPr>
        <w:spacing w:before="240" w:line="276" w:lineRule="auto"/>
      </w:pPr>
      <w:r w:rsidRPr="000D077E">
        <w:rPr>
          <w:b/>
          <w:bCs/>
        </w:rPr>
        <w:t>12.1:</w:t>
      </w:r>
      <w:r>
        <w:t xml:space="preserve"> Regularly </w:t>
      </w:r>
      <w:r w:rsidR="00161B15">
        <w:t>undertake a</w:t>
      </w:r>
      <w:r>
        <w:t xml:space="preserve"> </w:t>
      </w:r>
      <w:r w:rsidR="002551F1">
        <w:t xml:space="preserve">risk assessment with regards to consideration of </w:t>
      </w:r>
      <w:r>
        <w:t xml:space="preserve">rapid </w:t>
      </w:r>
      <w:r w:rsidR="002551F1">
        <w:t xml:space="preserve">closure of an affected area(s) during an outbreak of </w:t>
      </w:r>
      <w:r>
        <w:t>norovirus</w:t>
      </w:r>
      <w:r w:rsidR="002551F1">
        <w:t xml:space="preserve"> infection</w:t>
      </w:r>
      <w:r>
        <w:t xml:space="preserve">. </w:t>
      </w:r>
    </w:p>
    <w:p w14:paraId="3296F955" w14:textId="77777777" w:rsidR="00EC7A69" w:rsidRPr="000D077E" w:rsidRDefault="00EC7A69" w:rsidP="00CF7116">
      <w:pPr>
        <w:spacing w:line="276" w:lineRule="auto"/>
        <w:rPr>
          <w:b/>
          <w:bCs/>
        </w:rPr>
      </w:pPr>
      <w:r w:rsidRPr="000D077E">
        <w:rPr>
          <w:b/>
          <w:bCs/>
        </w:rPr>
        <w:t>Good practice points:</w:t>
      </w:r>
    </w:p>
    <w:p w14:paraId="64E7F730" w14:textId="695F4664" w:rsidR="00EC7A69" w:rsidRPr="009E6247" w:rsidRDefault="002551F1" w:rsidP="00CF7116">
      <w:pPr>
        <w:spacing w:before="240" w:line="276" w:lineRule="auto"/>
      </w:pPr>
      <w:r>
        <w:t>none</w:t>
      </w:r>
    </w:p>
    <w:p w14:paraId="24CCC8C8" w14:textId="77777777" w:rsidR="00EC7A69" w:rsidRDefault="00EC7A69" w:rsidP="00CF7116">
      <w:pPr>
        <w:spacing w:before="240" w:line="276" w:lineRule="auto"/>
      </w:pPr>
    </w:p>
    <w:bookmarkEnd w:id="14"/>
    <w:p w14:paraId="6CB0F0FB" w14:textId="18960C68" w:rsidR="00E758C0" w:rsidRDefault="00E758C0" w:rsidP="00CF7116">
      <w:pPr>
        <w:pStyle w:val="Heading2"/>
        <w:spacing w:before="240" w:after="160" w:line="276" w:lineRule="auto"/>
      </w:pPr>
      <w:r>
        <w:t>8.13</w:t>
      </w:r>
      <w:r w:rsidRPr="00E758C0">
        <w:tab/>
      </w:r>
      <w:bookmarkStart w:id="15" w:name="_Hlk110262998"/>
      <w:r w:rsidRPr="00E758C0">
        <w:t>What is the effectiveness of restricting staff and visitor access in the areas affected by norovirus?</w:t>
      </w:r>
      <w:bookmarkEnd w:id="15"/>
    </w:p>
    <w:p w14:paraId="3F463197" w14:textId="33ED7E49" w:rsidR="00E758C0" w:rsidRDefault="00BF19CD" w:rsidP="00BF19CD">
      <w:pPr>
        <w:spacing w:before="240" w:line="276" w:lineRule="auto"/>
      </w:pPr>
      <w:r>
        <w:t>Temporarily restricting visiting is a recognised way of limiting the spread of norovirus. Visitors are thought to pose a risk of spreading norovirus and could potentially prolong an outbreak. There are hazards posed by visitors, e.g., acquiring norovirus through community transmission, which they then bring into the care setting. There are also hazards posed to visitors who can be exposed to norovirus in the care setting and become infected, leading to more widespread contamination of the care environment by, for example, transferring virus to uncontaminated surfaces. Restricting visiting also allows staff to concentrate on patients without being distracted by the need to attend to visitors as well.</w:t>
      </w:r>
      <w:r w:rsidR="000E41A6">
        <w:t xml:space="preserve"> </w:t>
      </w:r>
      <w:r>
        <w:t>It is considered good practice to allocate staff to duties in either affected or non-affected clinical areas but not both unless this is unavoidable (e.g., for therapists). This approach was recommended in previous UK guidelines.</w:t>
      </w:r>
      <w:r w:rsidR="00AC0F9C" w:rsidRPr="00AC0F9C">
        <w:rPr>
          <w:vertAlign w:val="superscript"/>
        </w:rPr>
        <w:t>1</w:t>
      </w:r>
      <w:r>
        <w:t xml:space="preserve"> Furthermore, it is currently recommended that the use of bank and agency staff in areas affected by a norovirus outbreak should be kept to a minimum.</w:t>
      </w:r>
      <w:r w:rsidR="000E41A6">
        <w:t xml:space="preserve"> </w:t>
      </w:r>
      <w:r>
        <w:t xml:space="preserve">However it is currently not clear whether any of these recommendations are supported by the current evidence. </w:t>
      </w:r>
    </w:p>
    <w:p w14:paraId="1DDB62DF" w14:textId="574E1FC4" w:rsidR="00EC7A69" w:rsidRDefault="00EC7A69" w:rsidP="00CF7116">
      <w:pPr>
        <w:spacing w:before="240" w:line="276" w:lineRule="auto"/>
      </w:pPr>
      <w:r w:rsidRPr="0095272F">
        <w:lastRenderedPageBreak/>
        <w:t xml:space="preserve">There was </w:t>
      </w:r>
      <w:r w:rsidRPr="000E42B4">
        <w:t>inconsistent evidence</w:t>
      </w:r>
      <w:r>
        <w:t xml:space="preserve"> from one cross-sectional study</w:t>
      </w:r>
      <w:r w:rsidR="00843758">
        <w:rPr>
          <w:vertAlign w:val="superscript"/>
        </w:rPr>
        <w:t>21</w:t>
      </w:r>
      <w:r>
        <w:t xml:space="preserve"> and</w:t>
      </w:r>
      <w:r w:rsidR="001128A6">
        <w:t xml:space="preserve"> eleven </w:t>
      </w:r>
      <w:r>
        <w:t>outbreak studies reporting a total of 18 outbreaks,</w:t>
      </w:r>
      <w:r w:rsidR="00843758" w:rsidRPr="00843758">
        <w:rPr>
          <w:vertAlign w:val="superscript"/>
        </w:rPr>
        <w:t>19,20,22,29</w:t>
      </w:r>
      <w:r w:rsidR="00843758">
        <w:rPr>
          <w:vertAlign w:val="superscript"/>
        </w:rPr>
        <w:t>-</w:t>
      </w:r>
      <w:r w:rsidR="00843758" w:rsidRPr="00843758">
        <w:rPr>
          <w:vertAlign w:val="superscript"/>
        </w:rPr>
        <w:t>31,37,40,58,108,123</w:t>
      </w:r>
      <w:r>
        <w:t xml:space="preserve"> which assessed the effectiveness of staff restrictions on the incidence of norovirus infection in healthcare settings. The cross-sectional study</w:t>
      </w:r>
      <w:r w:rsidR="00843758">
        <w:rPr>
          <w:vertAlign w:val="superscript"/>
        </w:rPr>
        <w:t>21</w:t>
      </w:r>
      <w:r>
        <w:t xml:space="preserve"> reported that restricting staff movement between units had no effect on the incidence of norovirus infection when comparing nursing homes which used this intervention </w:t>
      </w:r>
      <w:r w:rsidR="00161B15">
        <w:t>to</w:t>
      </w:r>
      <w:r>
        <w:t xml:space="preserve"> those which did not (OR 1.40 [CI 95% 1.02-1.91] for residents and OR 0.67 [CI 95% 0.45-1.00] for staff). The outbreak studies reported different approaches to staff restrictions which included staff being allowed to work on single units only,</w:t>
      </w:r>
      <w:r w:rsidR="00843758" w:rsidRPr="00843758">
        <w:rPr>
          <w:vertAlign w:val="superscript"/>
        </w:rPr>
        <w:t>19,20,30,31,40,58,108</w:t>
      </w:r>
      <w:r>
        <w:t xml:space="preserve"> essential staff only were allowed to work on outbreak units,</w:t>
      </w:r>
      <w:r w:rsidR="00843758" w:rsidRPr="00843758">
        <w:rPr>
          <w:vertAlign w:val="superscript"/>
        </w:rPr>
        <w:t>20,22,29,37</w:t>
      </w:r>
      <w:r>
        <w:t xml:space="preserve"> special rotas which ensured that sufficient time </w:t>
      </w:r>
      <w:r w:rsidR="00161B15">
        <w:t>elapsed</w:t>
      </w:r>
      <w:r>
        <w:t xml:space="preserve"> between </w:t>
      </w:r>
      <w:r w:rsidR="00161B15">
        <w:t>a</w:t>
      </w:r>
      <w:r>
        <w:t xml:space="preserve"> shift on an outbreak unit before </w:t>
      </w:r>
      <w:r w:rsidR="00161B15">
        <w:t xml:space="preserve">the same </w:t>
      </w:r>
      <w:r>
        <w:t>staff member worked on another unit</w:t>
      </w:r>
      <w:r w:rsidR="00843758">
        <w:rPr>
          <w:vertAlign w:val="superscript"/>
        </w:rPr>
        <w:t>29</w:t>
      </w:r>
      <w:r>
        <w:t xml:space="preserve"> and allowing less staff to enter outbreak wards</w:t>
      </w:r>
      <w:r w:rsidR="00161B15">
        <w:t xml:space="preserve"> less frequently</w:t>
      </w:r>
      <w:r>
        <w:t>.</w:t>
      </w:r>
      <w:r w:rsidRPr="00DC736A">
        <w:rPr>
          <w:vertAlign w:val="superscript"/>
        </w:rPr>
        <w:t>1</w:t>
      </w:r>
      <w:r w:rsidR="00843758">
        <w:rPr>
          <w:vertAlign w:val="superscript"/>
        </w:rPr>
        <w:t>23</w:t>
      </w:r>
      <w:r>
        <w:t xml:space="preserve"> The reported outbreaks affected between eleven and 164 cases (median 30 cases) and lasted between three and 44 days (median 17 days). Of these eleven studies, eight (73%)</w:t>
      </w:r>
      <w:r w:rsidR="00843758" w:rsidRPr="00843758">
        <w:rPr>
          <w:vertAlign w:val="superscript"/>
        </w:rPr>
        <w:t>20,22,29,30,37,40,58,108</w:t>
      </w:r>
      <w:r>
        <w:t xml:space="preserve"> reported the benefit of introducing staff restrictions. From the studies which did not report </w:t>
      </w:r>
      <w:r w:rsidR="00161B15">
        <w:t>a</w:t>
      </w:r>
      <w:r>
        <w:t xml:space="preserve"> benefit, one study</w:t>
      </w:r>
      <w:r w:rsidR="00843758">
        <w:rPr>
          <w:vertAlign w:val="superscript"/>
        </w:rPr>
        <w:t>19</w:t>
      </w:r>
      <w:r>
        <w:t xml:space="preserve"> compared two outbreaks which occurred close to each other and reported that initial interventions, which included staff restrictions</w:t>
      </w:r>
      <w:r w:rsidR="00161B15">
        <w:t>,</w:t>
      </w:r>
      <w:r>
        <w:t xml:space="preserve"> were less successful than additional measures which were introduced in a second outbreak (increased sick pay for staff, visitor restrictions and rapid cleaning/disinfection)</w:t>
      </w:r>
      <w:r w:rsidR="00161B15">
        <w:t>.</w:t>
      </w:r>
      <w:r>
        <w:t xml:space="preserve"> </w:t>
      </w:r>
      <w:r w:rsidR="00161B15">
        <w:t>O</w:t>
      </w:r>
      <w:r>
        <w:t>ne</w:t>
      </w:r>
      <w:r w:rsidR="00843758">
        <w:rPr>
          <w:vertAlign w:val="superscript"/>
        </w:rPr>
        <w:t>31</w:t>
      </w:r>
      <w:r>
        <w:t xml:space="preserve"> reported that further interventions needed to be introduced to contain the outbreak and one study</w:t>
      </w:r>
      <w:r w:rsidRPr="00DC736A">
        <w:rPr>
          <w:vertAlign w:val="superscript"/>
        </w:rPr>
        <w:t>1</w:t>
      </w:r>
      <w:r w:rsidR="00843758">
        <w:rPr>
          <w:vertAlign w:val="superscript"/>
        </w:rPr>
        <w:t>2</w:t>
      </w:r>
      <w:r w:rsidRPr="00DC736A">
        <w:rPr>
          <w:vertAlign w:val="superscript"/>
        </w:rPr>
        <w:t>3</w:t>
      </w:r>
      <w:r>
        <w:t xml:space="preserve"> did not mention whether staff restrictions together with other interventions had any effect on the course of an outbreak. Only one study specifically stated that staff restrictions may have prevented outbreaks in other units</w:t>
      </w:r>
      <w:r w:rsidR="00843758">
        <w:rPr>
          <w:vertAlign w:val="superscript"/>
        </w:rPr>
        <w:t>3</w:t>
      </w:r>
      <w:r w:rsidRPr="00DC736A">
        <w:rPr>
          <w:vertAlign w:val="superscript"/>
        </w:rPr>
        <w:t>0</w:t>
      </w:r>
      <w:r>
        <w:t xml:space="preserve"> but four studies</w:t>
      </w:r>
      <w:r w:rsidR="00843758" w:rsidRPr="00843758">
        <w:rPr>
          <w:vertAlign w:val="superscript"/>
        </w:rPr>
        <w:t>19,22,29,108</w:t>
      </w:r>
      <w:r>
        <w:t xml:space="preserve"> also reported that the outbreak was contained within one ward or unit. </w:t>
      </w:r>
      <w:r w:rsidR="00161B15">
        <w:t>After</w:t>
      </w:r>
      <w:r>
        <w:t xml:space="preserve"> the introduction of staff restrictions as a part of outbreak control measures, there were </w:t>
      </w:r>
      <w:r w:rsidR="00161B15">
        <w:t xml:space="preserve">a </w:t>
      </w:r>
      <w:r>
        <w:t xml:space="preserve">further two to 98 cases (median 24, reported by </w:t>
      </w:r>
      <w:r w:rsidR="00843758">
        <w:t>eight</w:t>
      </w:r>
      <w:r>
        <w:t xml:space="preserve"> studies</w:t>
      </w:r>
      <w:r w:rsidR="00843758" w:rsidRPr="00843758">
        <w:rPr>
          <w:vertAlign w:val="superscript"/>
        </w:rPr>
        <w:t>19,20,22,29,30,32,37,58</w:t>
      </w:r>
      <w:r>
        <w:t xml:space="preserve">) and the outbreaks lasted </w:t>
      </w:r>
      <w:r w:rsidR="00161B15">
        <w:t xml:space="preserve">for a </w:t>
      </w:r>
      <w:r>
        <w:t>further two to 16 days (median</w:t>
      </w:r>
      <w:r w:rsidR="001128A6">
        <w:t xml:space="preserve"> ten </w:t>
      </w:r>
      <w:r>
        <w:t xml:space="preserve">days reported by </w:t>
      </w:r>
      <w:r w:rsidR="00843758">
        <w:t>seven</w:t>
      </w:r>
      <w:r>
        <w:t xml:space="preserve"> studies</w:t>
      </w:r>
      <w:r w:rsidR="00843758" w:rsidRPr="00843758">
        <w:rPr>
          <w:vertAlign w:val="superscript"/>
        </w:rPr>
        <w:t>19,20,22,29,30,32,37,58</w:t>
      </w:r>
      <w:r>
        <w:t xml:space="preserve">). </w:t>
      </w:r>
    </w:p>
    <w:p w14:paraId="046CCA8D" w14:textId="3E624B8F"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 of staff restrictions on the incidence of norovirus infection in non-healthcare settings.</w:t>
      </w:r>
    </w:p>
    <w:p w14:paraId="5CA325EA" w14:textId="0BF1A4DF"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 of staff restrictions on cost during norovirus outbreaks in any setting.</w:t>
      </w:r>
    </w:p>
    <w:p w14:paraId="79F25FAA" w14:textId="78839BA9"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 of staff restrictions on staff and patient experience during norovirus outbreaks in any setting.</w:t>
      </w:r>
    </w:p>
    <w:p w14:paraId="624CFEE8" w14:textId="30EC9201" w:rsidR="00EC7A69" w:rsidRDefault="00EC7A69" w:rsidP="00CF7116">
      <w:pPr>
        <w:spacing w:before="240" w:line="276" w:lineRule="auto"/>
      </w:pPr>
      <w:r w:rsidRPr="0095272F">
        <w:t xml:space="preserve">There was </w:t>
      </w:r>
      <w:r w:rsidRPr="000E42B4">
        <w:t>inconsistent evidence</w:t>
      </w:r>
      <w:r>
        <w:t xml:space="preserve"> from one cross-sectional study</w:t>
      </w:r>
      <w:r w:rsidR="00A6141E">
        <w:rPr>
          <w:vertAlign w:val="superscript"/>
        </w:rPr>
        <w:t>21</w:t>
      </w:r>
      <w:r>
        <w:t xml:space="preserve"> and 18 outbreak studies reporting a total of 24 outbreaks,</w:t>
      </w:r>
      <w:r w:rsidR="00A6141E" w:rsidRPr="00A6141E">
        <w:rPr>
          <w:vertAlign w:val="superscript"/>
        </w:rPr>
        <w:t>14,15,19,22,25,29</w:t>
      </w:r>
      <w:r w:rsidR="00A6141E">
        <w:rPr>
          <w:vertAlign w:val="superscript"/>
        </w:rPr>
        <w:t>-</w:t>
      </w:r>
      <w:r w:rsidR="00A6141E" w:rsidRPr="00A6141E">
        <w:rPr>
          <w:vertAlign w:val="superscript"/>
        </w:rPr>
        <w:t>31,34,36,37,40,55,57,108,121,123,125</w:t>
      </w:r>
      <w:r>
        <w:t xml:space="preserve"> which assessed the effectiveness of visitor restrictions on the incidence of norovirus infection in healthcare settings. The cross-sectional study</w:t>
      </w:r>
      <w:r w:rsidR="00A6141E">
        <w:rPr>
          <w:vertAlign w:val="superscript"/>
        </w:rPr>
        <w:t>21</w:t>
      </w:r>
      <w:r>
        <w:t xml:space="preserve"> reported that the nursing homes which did not allow symptomatic visitors had a lower incidence of norovirus infections in residents than the nursing homes which did not introduce such restrictions (in multivariate analysis OR 0.52 (CI95% 0.37-0.73]), although no benefit was seen for staff (OR 0.66 [CI95% 0.39-1.12]). This study also reported that there seemed to be no benefit for the nursing homes which introduced the policies where the visitors were not allowed at all vs those which did not (OR 1.45 [CI 95% 1.02-2.07] for residents; OR 1.56 [CI 95% 0.88-2.75] for staff). The outbreak studies reported different approaches to visitor restrictions which included no visitors being allowed to enter the affected units,</w:t>
      </w:r>
      <w:r w:rsidR="00A6141E" w:rsidRPr="00A6141E">
        <w:rPr>
          <w:vertAlign w:val="superscript"/>
        </w:rPr>
        <w:t>15,25,31,34,36,37,57</w:t>
      </w:r>
      <w:r>
        <w:t xml:space="preserve"> allowing fewer visitors,</w:t>
      </w:r>
      <w:r w:rsidR="00A6141E" w:rsidRPr="00A6141E">
        <w:rPr>
          <w:vertAlign w:val="superscript"/>
        </w:rPr>
        <w:t>14,19,22,29,40,30,108,121</w:t>
      </w:r>
      <w:r>
        <w:t xml:space="preserve"> screening the visitors and not allowing those who were symptomatic to enter,</w:t>
      </w:r>
      <w:r w:rsidR="00A6141E" w:rsidRPr="00A6141E">
        <w:rPr>
          <w:vertAlign w:val="superscript"/>
        </w:rPr>
        <w:t>15,22,55</w:t>
      </w:r>
      <w:r>
        <w:t xml:space="preserve"> providing PPE </w:t>
      </w:r>
      <w:r>
        <w:lastRenderedPageBreak/>
        <w:t>for visitors</w:t>
      </w:r>
      <w:r w:rsidR="00A6141E" w:rsidRPr="00A6141E">
        <w:rPr>
          <w:vertAlign w:val="superscript"/>
        </w:rPr>
        <w:t>29,125</w:t>
      </w:r>
      <w:r>
        <w:t xml:space="preserve"> and mandatory hand cleaning with alcohol hand rub </w:t>
      </w:r>
      <w:r w:rsidR="005834C7">
        <w:t xml:space="preserve">(AHR) </w:t>
      </w:r>
      <w:r>
        <w:t>upon entry.</w:t>
      </w:r>
      <w:r w:rsidRPr="00DC736A">
        <w:rPr>
          <w:vertAlign w:val="superscript"/>
        </w:rPr>
        <w:t>1</w:t>
      </w:r>
      <w:r w:rsidR="00A6141E">
        <w:rPr>
          <w:vertAlign w:val="superscript"/>
        </w:rPr>
        <w:t>2</w:t>
      </w:r>
      <w:r w:rsidRPr="00DC736A">
        <w:rPr>
          <w:vertAlign w:val="superscript"/>
        </w:rPr>
        <w:t>3</w:t>
      </w:r>
      <w:r>
        <w:t xml:space="preserve"> The reported outbreaks affected between ten and 355 cases (median 31 cases) and lasted between three days and over two months (median 16 days). Of these 18 studies, 14 (78%)</w:t>
      </w:r>
      <w:r w:rsidR="00A6141E" w:rsidRPr="00A6141E">
        <w:rPr>
          <w:vertAlign w:val="superscript"/>
        </w:rPr>
        <w:t>14,15,19,22,25,30,29,36,37,40,57,108,121,125</w:t>
      </w:r>
      <w:r w:rsidRPr="009E5D50">
        <w:t xml:space="preserve"> </w:t>
      </w:r>
      <w:r>
        <w:t xml:space="preserve">reported </w:t>
      </w:r>
      <w:r w:rsidR="00161B15">
        <w:t>a</w:t>
      </w:r>
      <w:r>
        <w:t xml:space="preserve"> benefit of introducing visitor restrictions. From the four studies which did not report </w:t>
      </w:r>
      <w:r w:rsidR="00161B15">
        <w:t>a</w:t>
      </w:r>
      <w:r>
        <w:t xml:space="preserve"> benefit, one study</w:t>
      </w:r>
      <w:r w:rsidR="00A6141E">
        <w:rPr>
          <w:vertAlign w:val="superscript"/>
        </w:rPr>
        <w:t>31</w:t>
      </w:r>
      <w:r>
        <w:t xml:space="preserve"> mentioned that additional control measures needed to be introduced, two did not report whether these interventions had any influence on the course of the outbreaks,</w:t>
      </w:r>
      <w:r w:rsidR="00A6141E" w:rsidRPr="00A6141E">
        <w:rPr>
          <w:vertAlign w:val="superscript"/>
        </w:rPr>
        <w:t>34,</w:t>
      </w:r>
      <w:r w:rsidRPr="009E5D50">
        <w:rPr>
          <w:vertAlign w:val="superscript"/>
        </w:rPr>
        <w:t>1</w:t>
      </w:r>
      <w:r w:rsidR="00A6141E">
        <w:rPr>
          <w:vertAlign w:val="superscript"/>
        </w:rPr>
        <w:t>2</w:t>
      </w:r>
      <w:r w:rsidRPr="009E5D50">
        <w:rPr>
          <w:vertAlign w:val="superscript"/>
        </w:rPr>
        <w:t>3</w:t>
      </w:r>
      <w:r>
        <w:t xml:space="preserve"> one reported that the control measures, including no entry for symptomatic visitors, eventually had a beneficial effect but that many of them were difficult to implement.</w:t>
      </w:r>
      <w:r w:rsidR="00A6141E">
        <w:rPr>
          <w:vertAlign w:val="superscript"/>
        </w:rPr>
        <w:t>55</w:t>
      </w:r>
      <w:r>
        <w:t xml:space="preserve"> Two studies specifically stated that allowing fewer visitors, together with other control measures, prevented outbreaks in other units</w:t>
      </w:r>
      <w:r w:rsidR="00A6141E">
        <w:rPr>
          <w:vertAlign w:val="superscript"/>
        </w:rPr>
        <w:t>30,36</w:t>
      </w:r>
      <w:r>
        <w:t xml:space="preserve"> and further five studies</w:t>
      </w:r>
      <w:r w:rsidR="00A6141E" w:rsidRPr="00A6141E">
        <w:rPr>
          <w:vertAlign w:val="superscript"/>
        </w:rPr>
        <w:t>19,22,25,29,108</w:t>
      </w:r>
      <w:r>
        <w:t xml:space="preserve"> reported that the outbreak was contained within one ward or unit. After introducing control measures, which included visitor restrictions, there were </w:t>
      </w:r>
      <w:r w:rsidR="00161B15">
        <w:t xml:space="preserve">a </w:t>
      </w:r>
      <w:r>
        <w:t>further three to 98 cases (median 21, reported by</w:t>
      </w:r>
      <w:r w:rsidR="001128A6">
        <w:t xml:space="preserve"> twelve </w:t>
      </w:r>
      <w:r>
        <w:t>studies</w:t>
      </w:r>
      <w:r w:rsidR="00A6141E" w:rsidRPr="00A6141E">
        <w:rPr>
          <w:vertAlign w:val="superscript"/>
        </w:rPr>
        <w:t>19,22,25,29-31,34,36,37,55,57,121,123</w:t>
      </w:r>
      <w:r>
        <w:t xml:space="preserve">) and the outbreaks lasted </w:t>
      </w:r>
      <w:r w:rsidR="00161B15">
        <w:t xml:space="preserve">for a </w:t>
      </w:r>
      <w:r>
        <w:t xml:space="preserve">further three to 19 days (median </w:t>
      </w:r>
      <w:r w:rsidR="001128A6">
        <w:t>nine</w:t>
      </w:r>
      <w:r>
        <w:t xml:space="preserve"> days reported by </w:t>
      </w:r>
      <w:r w:rsidR="00A6141E">
        <w:t>ten</w:t>
      </w:r>
      <w:r>
        <w:t xml:space="preserve"> studies</w:t>
      </w:r>
      <w:r w:rsidR="00A6141E" w:rsidRPr="00A6141E">
        <w:rPr>
          <w:vertAlign w:val="superscript"/>
        </w:rPr>
        <w:t>19,22,25,29-31,36,55,121,123</w:t>
      </w:r>
      <w:r>
        <w:t>). Additionally, one of the above studies</w:t>
      </w:r>
      <w:r w:rsidRPr="009E5D50">
        <w:rPr>
          <w:vertAlign w:val="superscript"/>
        </w:rPr>
        <w:t>1</w:t>
      </w:r>
      <w:r w:rsidR="00A6141E">
        <w:rPr>
          <w:vertAlign w:val="superscript"/>
        </w:rPr>
        <w:t>25</w:t>
      </w:r>
      <w:r>
        <w:t xml:space="preserve"> reported that visitor restrictions may not be needed as their data suggested that visitors wearing masks and gowns did not become infected and that the number of cases decreased soon after interventions were introduced. </w:t>
      </w:r>
    </w:p>
    <w:p w14:paraId="3EDBF7C0" w14:textId="5BB5B78C" w:rsidR="00EC7A69" w:rsidRDefault="00EC7A69" w:rsidP="00CF7116">
      <w:pPr>
        <w:spacing w:before="240" w:line="276" w:lineRule="auto"/>
      </w:pPr>
      <w:r w:rsidRPr="0095272F">
        <w:t xml:space="preserve">There was </w:t>
      </w:r>
      <w:r w:rsidRPr="000E42B4">
        <w:t xml:space="preserve">very weak evidence </w:t>
      </w:r>
      <w:r>
        <w:t>from one outbreak study,</w:t>
      </w:r>
      <w:r w:rsidR="00A6141E">
        <w:rPr>
          <w:vertAlign w:val="superscript"/>
        </w:rPr>
        <w:t>45</w:t>
      </w:r>
      <w:r>
        <w:t xml:space="preserve"> which reported the use of restricting guest entry during </w:t>
      </w:r>
      <w:r w:rsidR="00161B15">
        <w:t>a</w:t>
      </w:r>
      <w:r>
        <w:t xml:space="preserve"> norovirus outbreak outside the healthcare setting. This study reported an outbreak on a cruise ship which affected 196 cases and lasted</w:t>
      </w:r>
      <w:r w:rsidR="001128A6">
        <w:t xml:space="preserve"> twelve </w:t>
      </w:r>
      <w:r>
        <w:t xml:space="preserve">days. The authors reported that the initial interventions did not have an effect on the course of the outbreak and that it was terminated only when all guests disembarked, the ship was disinfected and no guest entry was allowed for 24 hours afterwards. </w:t>
      </w:r>
    </w:p>
    <w:p w14:paraId="17BC690E" w14:textId="1761CB1B"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 of staff restrictions on cost during norovirus outbreaks in any setting.</w:t>
      </w:r>
    </w:p>
    <w:p w14:paraId="3216EB92" w14:textId="793CD9EE" w:rsidR="00EC7A69" w:rsidRDefault="00EC7A69" w:rsidP="00CF7116">
      <w:pPr>
        <w:spacing w:before="240" w:line="276" w:lineRule="auto"/>
      </w:pPr>
      <w:r w:rsidRPr="0095272F">
        <w:t xml:space="preserve">There was </w:t>
      </w:r>
      <w:r w:rsidR="000E42B4" w:rsidRPr="000E42B4">
        <w:t xml:space="preserve">very weak evidence </w:t>
      </w:r>
      <w:r>
        <w:t>from one outbreak study,</w:t>
      </w:r>
      <w:r>
        <w:rPr>
          <w:vertAlign w:val="superscript"/>
        </w:rPr>
        <w:t>1</w:t>
      </w:r>
      <w:r w:rsidR="00A6141E">
        <w:rPr>
          <w:vertAlign w:val="superscript"/>
        </w:rPr>
        <w:t>4</w:t>
      </w:r>
      <w:r>
        <w:t xml:space="preserve"> which reported the effect of allowing no visitors during </w:t>
      </w:r>
      <w:r w:rsidR="00161B15">
        <w:t>a</w:t>
      </w:r>
      <w:r>
        <w:t xml:space="preserve"> norovirus outbreak </w:t>
      </w:r>
      <w:r w:rsidR="00161B15">
        <w:t xml:space="preserve">in a </w:t>
      </w:r>
      <w:r>
        <w:t xml:space="preserve">healthcare setting on patient and visitor experience. The authors reported that to balance the visiting restrictions, the hospital provided additional snacks for patients, laundered all personal clothing on site and communicated with staff and visitors. As a result, no complaints were made, and no adverse events were reported. The authors reported that the hospital management considered this to be one of the interventions which were successfully implemented and were well-accepted during the outbreak. </w:t>
      </w:r>
    </w:p>
    <w:p w14:paraId="3457FD55" w14:textId="27058047"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 of visitor restrictions on staff and guest experience during norovirus outbreaks outside healthcare settings.</w:t>
      </w:r>
    </w:p>
    <w:p w14:paraId="2E9E6FAF" w14:textId="7D35C741" w:rsidR="00EC7A69" w:rsidRDefault="00EC7A69" w:rsidP="00CF7116">
      <w:pPr>
        <w:spacing w:before="240" w:line="276" w:lineRule="auto"/>
      </w:pPr>
      <w:r w:rsidRPr="0095272F">
        <w:t xml:space="preserve">There was </w:t>
      </w:r>
      <w:r w:rsidR="000E42B4" w:rsidRPr="000E42B4">
        <w:t xml:space="preserve">weak evidence </w:t>
      </w:r>
      <w:r>
        <w:t>from three outbreak studies, which reported the effect of allowing the staff to work in multiple institutions</w:t>
      </w:r>
      <w:r w:rsidR="00A6141E">
        <w:rPr>
          <w:vertAlign w:val="superscript"/>
        </w:rPr>
        <w:t>126</w:t>
      </w:r>
      <w:r>
        <w:t xml:space="preserve"> or in more than one unit</w:t>
      </w:r>
      <w:r w:rsidR="00A6141E">
        <w:rPr>
          <w:vertAlign w:val="superscript"/>
        </w:rPr>
        <w:t>3</w:t>
      </w:r>
      <w:r w:rsidRPr="009E5D50">
        <w:rPr>
          <w:vertAlign w:val="superscript"/>
        </w:rPr>
        <w:t>0,</w:t>
      </w:r>
      <w:r w:rsidR="00A6141E">
        <w:rPr>
          <w:vertAlign w:val="superscript"/>
        </w:rPr>
        <w:t>11</w:t>
      </w:r>
      <w:r w:rsidRPr="009E5D50">
        <w:rPr>
          <w:vertAlign w:val="superscript"/>
        </w:rPr>
        <w:t>4</w:t>
      </w:r>
      <w:r>
        <w:t xml:space="preserve"> during norovirus outbreaks in healthcare settings. One of these studies</w:t>
      </w:r>
      <w:r w:rsidR="00A6141E">
        <w:rPr>
          <w:vertAlign w:val="superscript"/>
        </w:rPr>
        <w:t>126</w:t>
      </w:r>
      <w:r>
        <w:t xml:space="preserve"> reported </w:t>
      </w:r>
      <w:r w:rsidR="00161B15">
        <w:t>on</w:t>
      </w:r>
      <w:r>
        <w:t xml:space="preserve"> o</w:t>
      </w:r>
      <w:r w:rsidRPr="009E5D50">
        <w:t>utbreaks</w:t>
      </w:r>
      <w:r>
        <w:t xml:space="preserve"> that</w:t>
      </w:r>
      <w:r w:rsidRPr="009E5D50">
        <w:t xml:space="preserve"> affected </w:t>
      </w:r>
      <w:r>
        <w:t>eight</w:t>
      </w:r>
      <w:r w:rsidRPr="009E5D50">
        <w:t xml:space="preserve"> </w:t>
      </w:r>
      <w:r>
        <w:t>long-term care facilities (</w:t>
      </w:r>
      <w:r w:rsidRPr="009E5D50">
        <w:t>LTCFs</w:t>
      </w:r>
      <w:r>
        <w:t>).</w:t>
      </w:r>
      <w:r w:rsidRPr="009E5D50">
        <w:t xml:space="preserve"> </w:t>
      </w:r>
      <w:r>
        <w:t>The outbreaks affected a total of 394 cases and lasted between five and 33 days (o</w:t>
      </w:r>
      <w:r w:rsidRPr="009E5D50">
        <w:t xml:space="preserve">verall 47 days from </w:t>
      </w:r>
      <w:r w:rsidR="00161B15">
        <w:t xml:space="preserve">the </w:t>
      </w:r>
      <w:r w:rsidRPr="009E5D50">
        <w:t xml:space="preserve">first case </w:t>
      </w:r>
      <w:r w:rsidR="00161B15">
        <w:t>[</w:t>
      </w:r>
      <w:r>
        <w:t xml:space="preserve">in </w:t>
      </w:r>
      <w:r w:rsidRPr="009E5D50">
        <w:t>facility A</w:t>
      </w:r>
      <w:r w:rsidR="00161B15">
        <w:t>]</w:t>
      </w:r>
      <w:r w:rsidRPr="009E5D50">
        <w:t xml:space="preserve"> to </w:t>
      </w:r>
      <w:r w:rsidR="00161B15">
        <w:t xml:space="preserve">the </w:t>
      </w:r>
      <w:r w:rsidRPr="009E5D50">
        <w:t xml:space="preserve">last case </w:t>
      </w:r>
      <w:r w:rsidR="00161B15">
        <w:t>[</w:t>
      </w:r>
      <w:r>
        <w:t xml:space="preserve">in </w:t>
      </w:r>
      <w:r w:rsidRPr="009E5D50">
        <w:t>facility E</w:t>
      </w:r>
      <w:r w:rsidR="00161B15">
        <w:t>]</w:t>
      </w:r>
      <w:r w:rsidRPr="009E5D50">
        <w:t xml:space="preserve">). </w:t>
      </w:r>
      <w:r>
        <w:t>The a</w:t>
      </w:r>
      <w:r w:rsidRPr="009E5D50">
        <w:t xml:space="preserve">uthors </w:t>
      </w:r>
      <w:r>
        <w:t xml:space="preserve">reported that they </w:t>
      </w:r>
      <w:r w:rsidRPr="009E5D50">
        <w:t xml:space="preserve">found clear connections of staff working at multiple sites between all these facilities except </w:t>
      </w:r>
      <w:r>
        <w:t>one, and that</w:t>
      </w:r>
      <w:r w:rsidRPr="009E5D50">
        <w:t xml:space="preserve"> some of these staff </w:t>
      </w:r>
      <w:r>
        <w:t>develop</w:t>
      </w:r>
      <w:r w:rsidR="00161B15">
        <w:t>ed</w:t>
      </w:r>
      <w:r w:rsidRPr="009E5D50">
        <w:t xml:space="preserve"> symptoms </w:t>
      </w:r>
      <w:r>
        <w:t xml:space="preserve">suggestive of norovirus infection. They </w:t>
      </w:r>
      <w:r>
        <w:lastRenderedPageBreak/>
        <w:t>concluded that these outbreaks were the result of staff working in multiple institutions. Another study</w:t>
      </w:r>
      <w:r w:rsidR="00A6141E">
        <w:rPr>
          <w:vertAlign w:val="superscript"/>
        </w:rPr>
        <w:t>11</w:t>
      </w:r>
      <w:r w:rsidRPr="009E5D50">
        <w:rPr>
          <w:vertAlign w:val="superscript"/>
        </w:rPr>
        <w:t>4</w:t>
      </w:r>
      <w:r>
        <w:t xml:space="preserve"> reported </w:t>
      </w:r>
      <w:r w:rsidR="00161B15">
        <w:t>o</w:t>
      </w:r>
      <w:r>
        <w:t xml:space="preserve">n </w:t>
      </w:r>
      <w:r w:rsidR="00161B15">
        <w:t xml:space="preserve">an </w:t>
      </w:r>
      <w:r>
        <w:t>o</w:t>
      </w:r>
      <w:r w:rsidRPr="009E5D50">
        <w:t xml:space="preserve">utbreak </w:t>
      </w:r>
      <w:r>
        <w:t>which occurred in</w:t>
      </w:r>
      <w:r w:rsidRPr="009E5D50">
        <w:t xml:space="preserve"> </w:t>
      </w:r>
      <w:r>
        <w:t>four</w:t>
      </w:r>
      <w:r w:rsidRPr="009E5D50">
        <w:t xml:space="preserve"> wards </w:t>
      </w:r>
      <w:r>
        <w:t>in</w:t>
      </w:r>
      <w:r w:rsidRPr="009E5D50">
        <w:t xml:space="preserve"> </w:t>
      </w:r>
      <w:r w:rsidR="00161B15">
        <w:t xml:space="preserve">a </w:t>
      </w:r>
      <w:r w:rsidRPr="009E5D50">
        <w:t>psycho-geriatric hospital</w:t>
      </w:r>
      <w:r>
        <w:t>, affecting 97 patients and staff and lasting 29 days</w:t>
      </w:r>
      <w:r w:rsidRPr="009E5D50">
        <w:t xml:space="preserve">. </w:t>
      </w:r>
      <w:r>
        <w:t>The authors reported that the epidemic curve suggested a</w:t>
      </w:r>
      <w:r w:rsidRPr="009E5D50">
        <w:t xml:space="preserve"> person-to-person spread </w:t>
      </w:r>
      <w:r>
        <w:t>but that there was n</w:t>
      </w:r>
      <w:r w:rsidRPr="009E5D50">
        <w:t xml:space="preserve">o direct contact </w:t>
      </w:r>
      <w:r>
        <w:t>between</w:t>
      </w:r>
      <w:r w:rsidRPr="009E5D50">
        <w:t xml:space="preserve"> patients </w:t>
      </w:r>
      <w:r>
        <w:t xml:space="preserve">and there were </w:t>
      </w:r>
      <w:r w:rsidRPr="009E5D50">
        <w:t xml:space="preserve">no transfers </w:t>
      </w:r>
      <w:r>
        <w:t>between</w:t>
      </w:r>
      <w:r w:rsidRPr="009E5D50">
        <w:t xml:space="preserve"> different units</w:t>
      </w:r>
      <w:r>
        <w:t>. The authors concluded that the most plausible route of transmission was via</w:t>
      </w:r>
      <w:r w:rsidRPr="009E5D50">
        <w:t xml:space="preserve"> staff </w:t>
      </w:r>
      <w:r>
        <w:t xml:space="preserve">who were </w:t>
      </w:r>
      <w:r w:rsidRPr="009E5D50">
        <w:t xml:space="preserve">working on multiple units. </w:t>
      </w:r>
      <w:r>
        <w:t>Similar conclusions were reached by another previously reported outbreak</w:t>
      </w:r>
      <w:r w:rsidR="00A6141E">
        <w:rPr>
          <w:vertAlign w:val="superscript"/>
        </w:rPr>
        <w:t>3</w:t>
      </w:r>
      <w:r w:rsidRPr="009E5D50">
        <w:rPr>
          <w:vertAlign w:val="superscript"/>
        </w:rPr>
        <w:t>0</w:t>
      </w:r>
      <w:r>
        <w:t xml:space="preserve"> which demonstrated that a nurse who worked in one area affected by norovirus became infected and returned to work in another unit two days later while symptomatic, subsequently transmitting the virus to others. </w:t>
      </w:r>
    </w:p>
    <w:p w14:paraId="71EA226F" w14:textId="34997B42" w:rsidR="000D077E" w:rsidRPr="000D077E" w:rsidRDefault="000D077E" w:rsidP="00CF7116">
      <w:pPr>
        <w:spacing w:before="240" w:line="276" w:lineRule="auto"/>
        <w:rPr>
          <w:i/>
          <w:iCs/>
        </w:rPr>
      </w:pPr>
      <w:r w:rsidRPr="000D077E">
        <w:rPr>
          <w:i/>
          <w:iCs/>
        </w:rPr>
        <w:t xml:space="preserve">The Working Party agreed that there is currently insufficient evidence which justifies the recommendation of routine restrictions. The decision to restrict </w:t>
      </w:r>
      <w:r>
        <w:rPr>
          <w:i/>
          <w:iCs/>
        </w:rPr>
        <w:t xml:space="preserve">staff and </w:t>
      </w:r>
      <w:r w:rsidRPr="000D077E">
        <w:rPr>
          <w:i/>
          <w:iCs/>
        </w:rPr>
        <w:t xml:space="preserve">visitors needs to be based </w:t>
      </w:r>
      <w:r>
        <w:rPr>
          <w:i/>
          <w:iCs/>
        </w:rPr>
        <w:t>on</w:t>
      </w:r>
      <w:r w:rsidRPr="000D077E">
        <w:rPr>
          <w:i/>
          <w:iCs/>
        </w:rPr>
        <w:t xml:space="preserve"> </w:t>
      </w:r>
      <w:r w:rsidR="00161B15">
        <w:rPr>
          <w:i/>
          <w:iCs/>
        </w:rPr>
        <w:t>a</w:t>
      </w:r>
      <w:r w:rsidRPr="000D077E">
        <w:rPr>
          <w:i/>
          <w:iCs/>
        </w:rPr>
        <w:t xml:space="preserve"> risk assessment </w:t>
      </w:r>
      <w:r w:rsidR="00161B15">
        <w:rPr>
          <w:i/>
          <w:iCs/>
        </w:rPr>
        <w:t xml:space="preserve">as to </w:t>
      </w:r>
      <w:r w:rsidRPr="000D077E">
        <w:rPr>
          <w:i/>
          <w:iCs/>
        </w:rPr>
        <w:t xml:space="preserve">whether staff and visitor restrictions are required </w:t>
      </w:r>
      <w:r w:rsidR="006C356B">
        <w:rPr>
          <w:i/>
          <w:iCs/>
        </w:rPr>
        <w:t xml:space="preserve">to limit transmission </w:t>
      </w:r>
      <w:r w:rsidRPr="000D077E">
        <w:rPr>
          <w:i/>
          <w:iCs/>
        </w:rPr>
        <w:t>in particular outbreaks or settings</w:t>
      </w:r>
      <w:r>
        <w:rPr>
          <w:i/>
          <w:iCs/>
        </w:rPr>
        <w:t>.</w:t>
      </w:r>
      <w:r w:rsidRPr="000D077E">
        <w:rPr>
          <w:i/>
          <w:iCs/>
        </w:rPr>
        <w:t xml:space="preserve"> </w:t>
      </w:r>
      <w:r>
        <w:rPr>
          <w:i/>
          <w:iCs/>
        </w:rPr>
        <w:t>C</w:t>
      </w:r>
      <w:r w:rsidRPr="000D077E">
        <w:rPr>
          <w:i/>
          <w:iCs/>
        </w:rPr>
        <w:t>onsider</w:t>
      </w:r>
      <w:r>
        <w:rPr>
          <w:i/>
          <w:iCs/>
        </w:rPr>
        <w:t xml:space="preserve">ation needs to be given to </w:t>
      </w:r>
      <w:r w:rsidR="00161B15">
        <w:rPr>
          <w:i/>
          <w:iCs/>
        </w:rPr>
        <w:t xml:space="preserve">any </w:t>
      </w:r>
      <w:r>
        <w:rPr>
          <w:i/>
          <w:iCs/>
        </w:rPr>
        <w:t>potential negative effects of these restrictions, e.g. resultant staffing issues, service</w:t>
      </w:r>
      <w:r w:rsidR="006C356B">
        <w:rPr>
          <w:i/>
          <w:iCs/>
        </w:rPr>
        <w:t xml:space="preserve"> disruption</w:t>
      </w:r>
      <w:r>
        <w:rPr>
          <w:i/>
          <w:iCs/>
        </w:rPr>
        <w:t>, wellbeing of the patients. When the decision to restrict</w:t>
      </w:r>
      <w:r w:rsidR="006C356B">
        <w:rPr>
          <w:i/>
          <w:iCs/>
        </w:rPr>
        <w:t xml:space="preserve"> </w:t>
      </w:r>
      <w:r>
        <w:rPr>
          <w:i/>
          <w:iCs/>
        </w:rPr>
        <w:t xml:space="preserve">visitors is made, appropriate communication with all relevant stakeholders will be necessary and the units need to provide alternative means of contact between patients and relatives. </w:t>
      </w:r>
    </w:p>
    <w:p w14:paraId="27FD27BE" w14:textId="77777777" w:rsidR="00EC7A69" w:rsidRPr="000D077E" w:rsidRDefault="00EC7A69" w:rsidP="00CF7116">
      <w:pPr>
        <w:spacing w:line="276" w:lineRule="auto"/>
        <w:rPr>
          <w:b/>
          <w:bCs/>
        </w:rPr>
      </w:pPr>
      <w:r w:rsidRPr="000D077E">
        <w:rPr>
          <w:b/>
          <w:bCs/>
        </w:rPr>
        <w:t>Recommendations:</w:t>
      </w:r>
    </w:p>
    <w:p w14:paraId="35EA6ECE" w14:textId="4AA02150" w:rsidR="00EC7A69" w:rsidRPr="009E6247" w:rsidRDefault="000D077E" w:rsidP="00CF7116">
      <w:pPr>
        <w:spacing w:before="240" w:line="276" w:lineRule="auto"/>
      </w:pPr>
      <w:r w:rsidRPr="000D077E">
        <w:rPr>
          <w:b/>
          <w:bCs/>
        </w:rPr>
        <w:t>13.1:</w:t>
      </w:r>
      <w:r>
        <w:t xml:space="preserve"> No recommendation </w:t>
      </w:r>
    </w:p>
    <w:p w14:paraId="7DA992F3" w14:textId="77777777" w:rsidR="00EC7A69" w:rsidRPr="000D077E" w:rsidRDefault="00EC7A69" w:rsidP="00CF7116">
      <w:pPr>
        <w:spacing w:line="276" w:lineRule="auto"/>
        <w:rPr>
          <w:b/>
          <w:bCs/>
        </w:rPr>
      </w:pPr>
      <w:r w:rsidRPr="000D077E">
        <w:rPr>
          <w:b/>
          <w:bCs/>
        </w:rPr>
        <w:t>Good practice points:</w:t>
      </w:r>
    </w:p>
    <w:p w14:paraId="4B77D923" w14:textId="37DF76E8" w:rsidR="000E42B4" w:rsidRDefault="000D077E" w:rsidP="00CF7116">
      <w:pPr>
        <w:spacing w:before="240" w:line="276" w:lineRule="auto"/>
      </w:pPr>
      <w:r w:rsidRPr="000D077E">
        <w:rPr>
          <w:b/>
          <w:bCs/>
        </w:rPr>
        <w:t>GPP</w:t>
      </w:r>
      <w:r w:rsidR="00953810">
        <w:rPr>
          <w:b/>
          <w:bCs/>
        </w:rPr>
        <w:t xml:space="preserve"> </w:t>
      </w:r>
      <w:r w:rsidRPr="000D077E">
        <w:rPr>
          <w:b/>
          <w:bCs/>
        </w:rPr>
        <w:t>13.1:</w:t>
      </w:r>
      <w:r>
        <w:t xml:space="preserve"> </w:t>
      </w:r>
      <w:r w:rsidR="000E42B4">
        <w:t xml:space="preserve">Undertake </w:t>
      </w:r>
      <w:r w:rsidR="00161B15">
        <w:t xml:space="preserve">a </w:t>
      </w:r>
      <w:r w:rsidR="000E42B4">
        <w:t xml:space="preserve">risk assessment and consider whether staff and visitor restrictions are </w:t>
      </w:r>
      <w:r>
        <w:t>necessary</w:t>
      </w:r>
      <w:r w:rsidR="000E42B4">
        <w:t xml:space="preserve"> in particular outbreaks or settings. </w:t>
      </w:r>
    </w:p>
    <w:p w14:paraId="4FD1ECBB" w14:textId="7B54E89D" w:rsidR="000E42B4" w:rsidRDefault="000D077E" w:rsidP="00CF7116">
      <w:pPr>
        <w:spacing w:before="240" w:line="276" w:lineRule="auto"/>
      </w:pPr>
      <w:r w:rsidRPr="000D077E">
        <w:rPr>
          <w:b/>
          <w:bCs/>
        </w:rPr>
        <w:t>GPP</w:t>
      </w:r>
      <w:r w:rsidR="00953810">
        <w:rPr>
          <w:b/>
          <w:bCs/>
        </w:rPr>
        <w:t xml:space="preserve"> </w:t>
      </w:r>
      <w:r w:rsidRPr="000D077E">
        <w:rPr>
          <w:b/>
          <w:bCs/>
        </w:rPr>
        <w:t>13.2:</w:t>
      </w:r>
      <w:r>
        <w:t xml:space="preserve"> </w:t>
      </w:r>
      <w:r w:rsidR="000E42B4">
        <w:t>Consider communication with visitors before restrictions are introduced</w:t>
      </w:r>
      <w:r w:rsidR="006C356B">
        <w:t>.</w:t>
      </w:r>
      <w:r w:rsidR="000E42B4">
        <w:t xml:space="preserve"> </w:t>
      </w:r>
    </w:p>
    <w:p w14:paraId="437393AE" w14:textId="277FFB4D" w:rsidR="000E42B4" w:rsidRDefault="000D077E" w:rsidP="00CF7116">
      <w:pPr>
        <w:spacing w:before="240" w:line="276" w:lineRule="auto"/>
      </w:pPr>
      <w:r w:rsidRPr="000D077E">
        <w:rPr>
          <w:b/>
          <w:bCs/>
        </w:rPr>
        <w:t>GPP</w:t>
      </w:r>
      <w:r w:rsidR="00953810">
        <w:rPr>
          <w:b/>
          <w:bCs/>
        </w:rPr>
        <w:t xml:space="preserve"> </w:t>
      </w:r>
      <w:r w:rsidRPr="000D077E">
        <w:rPr>
          <w:b/>
          <w:bCs/>
        </w:rPr>
        <w:t>13.3:</w:t>
      </w:r>
      <w:r>
        <w:t xml:space="preserve"> When visitor restrictions are not in place, c</w:t>
      </w:r>
      <w:r w:rsidR="000E42B4">
        <w:t>ommunicat</w:t>
      </w:r>
      <w:r>
        <w:t>e with visitors about the control measures that the visitors are expected to follow, e.g.</w:t>
      </w:r>
      <w:r w:rsidR="000E42B4">
        <w:t xml:space="preserve"> </w:t>
      </w:r>
      <w:r>
        <w:t xml:space="preserve">hand-hygiene policies, use of personal protective equipment etc. </w:t>
      </w:r>
    </w:p>
    <w:p w14:paraId="6D77645E" w14:textId="73D872D1" w:rsidR="00EC7A69" w:rsidRPr="009E6247" w:rsidRDefault="000D077E" w:rsidP="00CF7116">
      <w:pPr>
        <w:spacing w:before="240" w:line="276" w:lineRule="auto"/>
      </w:pPr>
      <w:r w:rsidRPr="000D077E">
        <w:rPr>
          <w:b/>
          <w:bCs/>
        </w:rPr>
        <w:t>GPP</w:t>
      </w:r>
      <w:r w:rsidR="00953810">
        <w:rPr>
          <w:b/>
          <w:bCs/>
        </w:rPr>
        <w:t xml:space="preserve"> </w:t>
      </w:r>
      <w:r w:rsidRPr="000D077E">
        <w:rPr>
          <w:b/>
          <w:bCs/>
        </w:rPr>
        <w:t>13.4:</w:t>
      </w:r>
      <w:r>
        <w:t xml:space="preserve"> When visitor restrictions are in place, c</w:t>
      </w:r>
      <w:r w:rsidR="000E42B4">
        <w:t xml:space="preserve">onsider alternatives </w:t>
      </w:r>
      <w:r>
        <w:t xml:space="preserve">for the patients to maintain contact </w:t>
      </w:r>
      <w:r w:rsidR="00AE3706">
        <w:t xml:space="preserve">with their family and friends </w:t>
      </w:r>
      <w:r>
        <w:t>e.g. by providing facilities for</w:t>
      </w:r>
      <w:r w:rsidR="000E42B4">
        <w:t xml:space="preserve"> virtual/no contact visits</w:t>
      </w:r>
      <w:r>
        <w:t xml:space="preserve">. </w:t>
      </w:r>
    </w:p>
    <w:p w14:paraId="2CD69CDA" w14:textId="77777777" w:rsidR="00EC7A69" w:rsidRDefault="00EC7A69" w:rsidP="00CF7116">
      <w:pPr>
        <w:spacing w:before="240" w:line="276" w:lineRule="auto"/>
      </w:pPr>
    </w:p>
    <w:p w14:paraId="2A1D0A0F" w14:textId="296A9B90" w:rsidR="00E758C0" w:rsidRDefault="00E758C0" w:rsidP="00CF7116">
      <w:pPr>
        <w:pStyle w:val="Heading2"/>
        <w:spacing w:before="240" w:after="160" w:line="276" w:lineRule="auto"/>
      </w:pPr>
      <w:r>
        <w:t>8.14</w:t>
      </w:r>
      <w:r>
        <w:tab/>
      </w:r>
      <w:bookmarkStart w:id="16" w:name="_Hlk115161020"/>
      <w:r w:rsidRPr="00E758C0">
        <w:t>What is the effectiveness of a hand gel in comparison to hand washing in removing norovirus from contaminated hands?</w:t>
      </w:r>
      <w:bookmarkEnd w:id="16"/>
    </w:p>
    <w:p w14:paraId="4689C891" w14:textId="68DC5BCD" w:rsidR="00E758C0" w:rsidRDefault="00E758C0" w:rsidP="00CF7116">
      <w:pPr>
        <w:spacing w:before="240" w:line="276" w:lineRule="auto"/>
      </w:pPr>
      <w:r w:rsidRPr="00E758C0">
        <w:t xml:space="preserve">Hand washing with liquid soap is the current NICE recommendation for the prevention of transmission of gastroenteritis. Specific evidence is lacking on the effectiveness of hand hygiene agents for norovirus, in part due to the challenges around viral culture which is not routinely performed and in turn makes decontamination practices harder to evaluate. There are many different methods of decontamination or hand hygiene regimens which could be considered, </w:t>
      </w:r>
      <w:r w:rsidRPr="00E758C0">
        <w:lastRenderedPageBreak/>
        <w:t xml:space="preserve">including </w:t>
      </w:r>
      <w:r w:rsidR="004B70A3">
        <w:t>h</w:t>
      </w:r>
      <w:r w:rsidRPr="00E758C0">
        <w:t>and gel (with and without alcohol) and hand washing with soap. Varying ethanol</w:t>
      </w:r>
      <w:r w:rsidR="00E2003E">
        <w:t xml:space="preserve"> (ETA)</w:t>
      </w:r>
      <w:r w:rsidRPr="00E758C0">
        <w:t xml:space="preserve"> content and different soap based products also influence potential effectiveness of these methodologies. In addition, the amount of contamination will influence the effectiveness of different approaches. Trying to understand the impact of enhanced hand hygiene and which decontamination method is the most effective in reducing norovirus transmission, is needed to provide guidance in the prevention of transmission during norovirus outbreaks.</w:t>
      </w:r>
      <w:r w:rsidR="004B70A3">
        <w:t xml:space="preserve"> Previous guidelines</w:t>
      </w:r>
      <w:r w:rsidR="00AC0F9C" w:rsidRPr="00AC0F9C">
        <w:rPr>
          <w:vertAlign w:val="superscript"/>
        </w:rPr>
        <w:t>1</w:t>
      </w:r>
      <w:r w:rsidR="004B70A3">
        <w:t xml:space="preserve"> recommended the use of liquid soap and water and advised not to share tablets of soap. The guidelines also acknowledged that </w:t>
      </w:r>
      <w:r w:rsidR="00E2003E">
        <w:t>AHR</w:t>
      </w:r>
      <w:r w:rsidR="004B70A3">
        <w:t xml:space="preserve"> may be ineffective for norovirus inactivation but did not specifically advise against the AHR use in healthcare settings. </w:t>
      </w:r>
    </w:p>
    <w:p w14:paraId="3FF90F29" w14:textId="284B7A81" w:rsidR="00FF635C" w:rsidRDefault="00FF635C" w:rsidP="00CF7116">
      <w:pPr>
        <w:spacing w:before="240" w:line="276" w:lineRule="auto"/>
      </w:pPr>
      <w:r w:rsidRPr="0095272F">
        <w:t xml:space="preserve">There was </w:t>
      </w:r>
      <w:r>
        <w:t>weak evidence from one case control study</w:t>
      </w:r>
      <w:r w:rsidRPr="00746578">
        <w:rPr>
          <w:vertAlign w:val="superscript"/>
        </w:rPr>
        <w:t>1</w:t>
      </w:r>
      <w:r w:rsidR="009B2629">
        <w:rPr>
          <w:vertAlign w:val="superscript"/>
        </w:rPr>
        <w:t>27</w:t>
      </w:r>
      <w:r>
        <w:t xml:space="preserve"> and one cross-sectional study,</w:t>
      </w:r>
      <w:r>
        <w:rPr>
          <w:vertAlign w:val="superscript"/>
        </w:rPr>
        <w:t>2</w:t>
      </w:r>
      <w:r w:rsidR="009B2629">
        <w:rPr>
          <w:vertAlign w:val="superscript"/>
        </w:rPr>
        <w:t>1</w:t>
      </w:r>
      <w:r w:rsidRPr="009A2010">
        <w:t xml:space="preserve"> </w:t>
      </w:r>
      <w:r>
        <w:t>which reported the use of different hand hygiene regimens during outbreaks in a healthcare setting. The case control study</w:t>
      </w:r>
      <w:r w:rsidRPr="00746578">
        <w:rPr>
          <w:vertAlign w:val="superscript"/>
        </w:rPr>
        <w:t>1</w:t>
      </w:r>
      <w:r w:rsidR="009B2629">
        <w:rPr>
          <w:vertAlign w:val="superscript"/>
        </w:rPr>
        <w:t>27</w:t>
      </w:r>
      <w:r>
        <w:t xml:space="preserve"> demonstrated that LTCF were more likely to experience at least one norovirus outbreak if they used AHR as often as or more often than using soap and water for hand hygiene (</w:t>
      </w:r>
      <w:r w:rsidR="007967B3" w:rsidRPr="007967B3">
        <w:t>a</w:t>
      </w:r>
      <w:r w:rsidR="007967B3">
        <w:t xml:space="preserve">djusted </w:t>
      </w:r>
      <w:r w:rsidR="007967B3" w:rsidRPr="007967B3">
        <w:t>OR 6.06 [CI95% 1.44-33.99]</w:t>
      </w:r>
      <w:r>
        <w:t xml:space="preserve">). They also reported that the risk of a norovirus outbreak may not be </w:t>
      </w:r>
      <w:proofErr w:type="spellStart"/>
      <w:r>
        <w:t>dependant</w:t>
      </w:r>
      <w:proofErr w:type="spellEnd"/>
      <w:r>
        <w:t xml:space="preserve"> on the facilities available, as the risk ratio for facilities which had more than one hand washing sink per ten residents vs those wh</w:t>
      </w:r>
      <w:r w:rsidR="00EB2749">
        <w:t>ich</w:t>
      </w:r>
      <w:r>
        <w:t xml:space="preserve"> had one or less was not significant. </w:t>
      </w:r>
      <w:r w:rsidRPr="00746578">
        <w:t>0.59 [</w:t>
      </w:r>
      <w:r>
        <w:t xml:space="preserve">CI95% </w:t>
      </w:r>
      <w:r w:rsidRPr="00746578">
        <w:t>0.32-1.07]</w:t>
      </w:r>
      <w:r>
        <w:t>. The cross sectional study</w:t>
      </w:r>
      <w:r w:rsidRPr="00746578">
        <w:rPr>
          <w:vertAlign w:val="superscript"/>
        </w:rPr>
        <w:t>2</w:t>
      </w:r>
      <w:r w:rsidR="009B2629">
        <w:rPr>
          <w:vertAlign w:val="superscript"/>
        </w:rPr>
        <w:t>1</w:t>
      </w:r>
      <w:r>
        <w:t xml:space="preserve"> reported no benefit for either residents of the nursing homes or the staff when, during outbreaks, AHR was used only in addition to hand washing (OR 0.57 [CI95% 0.28-1.16] for staff, </w:t>
      </w:r>
      <w:r w:rsidR="005834C7">
        <w:t>not reported</w:t>
      </w:r>
      <w:r>
        <w:t xml:space="preserve"> for residents), or when stringent staff hand washing with soap and water was in place (OR 1.34 [CI95% 1.01-1.79] for residents, </w:t>
      </w:r>
      <w:r w:rsidR="005834C7">
        <w:t>not reported</w:t>
      </w:r>
      <w:r>
        <w:t xml:space="preserve"> for staff), nor when stringent resident hand washing with soap and water was in place (OR 1.29 [CI95% 0.95-1.73] for residents, OR 1.31 [CI95% 0.90-1.90] for staff).</w:t>
      </w:r>
    </w:p>
    <w:p w14:paraId="50C7813E" w14:textId="2ED995E4" w:rsidR="00FF635C" w:rsidRDefault="00FF635C" w:rsidP="00CF7116">
      <w:pPr>
        <w:spacing w:before="240" w:line="276" w:lineRule="auto"/>
      </w:pPr>
      <w:r w:rsidRPr="0095272F">
        <w:t xml:space="preserve">There was </w:t>
      </w:r>
      <w:r>
        <w:t>weak evidence from three outbreak studies,</w:t>
      </w:r>
      <w:r w:rsidR="009B2629">
        <w:rPr>
          <w:vertAlign w:val="superscript"/>
        </w:rPr>
        <w:t>55,58,126</w:t>
      </w:r>
      <w:r>
        <w:rPr>
          <w:vertAlign w:val="superscript"/>
        </w:rPr>
        <w:t xml:space="preserve"> </w:t>
      </w:r>
      <w:r>
        <w:t>which reported using only soap and water during ten outbreaks. These studies reported that the outbreaks affected between 17 and 100 cases (median 47) and lasted from five to 33 days (median</w:t>
      </w:r>
      <w:r w:rsidR="001128A6">
        <w:t xml:space="preserve"> twelve </w:t>
      </w:r>
      <w:r>
        <w:t>days). One of these studies</w:t>
      </w:r>
      <w:r w:rsidRPr="00135C83">
        <w:rPr>
          <w:vertAlign w:val="superscript"/>
        </w:rPr>
        <w:t>5</w:t>
      </w:r>
      <w:r w:rsidR="009B2629">
        <w:rPr>
          <w:vertAlign w:val="superscript"/>
        </w:rPr>
        <w:t>8</w:t>
      </w:r>
      <w:r>
        <w:t xml:space="preserve"> reported that after introducing the interventions, which included the emphasis on hand washing with soap and water, cases started to decrease, although the authors also reported that these interventions were introduced at the peak of the outbreak and therefore it was difficult to associate any control measures with its control as the numbers were likely to decline on their own. The authors reported that it took further ten days to control an outbreak after the interventions were in place. Another study,</w:t>
      </w:r>
      <w:r w:rsidR="009B2629">
        <w:rPr>
          <w:vertAlign w:val="superscript"/>
        </w:rPr>
        <w:t>55</w:t>
      </w:r>
      <w:r>
        <w:t xml:space="preserve"> which described an outbreak in acute psychiatric ward, reported that the compliance with interventions, and especially patient hand hygiene, was difficult to achieve due to the type of the patients present on the ward. Nevertheless, the study reported that the outbreak was controlled five days after introducing the interventions. </w:t>
      </w:r>
    </w:p>
    <w:p w14:paraId="10B61034" w14:textId="365BA147" w:rsidR="00FF635C" w:rsidRDefault="00FF635C" w:rsidP="00CF7116">
      <w:pPr>
        <w:spacing w:before="240" w:line="276" w:lineRule="auto"/>
      </w:pPr>
      <w:r w:rsidRPr="0095272F">
        <w:t xml:space="preserve">There was </w:t>
      </w:r>
      <w:r>
        <w:t>weak evidence from one outbreak report</w:t>
      </w:r>
      <w:r w:rsidR="009B2629">
        <w:rPr>
          <w:vertAlign w:val="superscript"/>
        </w:rPr>
        <w:t>34</w:t>
      </w:r>
      <w:r>
        <w:t xml:space="preserve"> where the nursing home switched to using running water with </w:t>
      </w:r>
      <w:r w:rsidR="00E2003E">
        <w:t>AHR</w:t>
      </w:r>
      <w:r>
        <w:t xml:space="preserve"> containing iodophors instead of the soap. This outbreak was reported to affect 59 confirmed cases (eight asymptomatic), and lasted for nine days. The authors reported that after introducing the interventions, which included the switch to AHR with iodophors, the number of cases declined, and the outbreak ended seven days later. </w:t>
      </w:r>
    </w:p>
    <w:p w14:paraId="339844DA" w14:textId="5933161C" w:rsidR="00FF635C" w:rsidRDefault="00FF635C" w:rsidP="00CF7116">
      <w:pPr>
        <w:spacing w:before="240" w:line="276" w:lineRule="auto"/>
      </w:pPr>
      <w:r w:rsidRPr="0095272F">
        <w:t xml:space="preserve">There was </w:t>
      </w:r>
      <w:r>
        <w:t>weak evidence from ten outbreak studies</w:t>
      </w:r>
      <w:r w:rsidR="009B2629" w:rsidRPr="009B2629">
        <w:rPr>
          <w:vertAlign w:val="superscript"/>
        </w:rPr>
        <w:t>19,20,26,28,37,39,56,108,111,123</w:t>
      </w:r>
      <w:r>
        <w:t xml:space="preserve"> which reported a total of 17 outbreaks during which AHR was added to the existing policy of handwashing with soap and water. These outbreaks affected between </w:t>
      </w:r>
      <w:r w:rsidR="001128A6">
        <w:t>three</w:t>
      </w:r>
      <w:r>
        <w:t xml:space="preserve"> and 355 cases (median 28) and lasted between </w:t>
      </w:r>
      <w:r>
        <w:lastRenderedPageBreak/>
        <w:t>three days and over two months (median 15 days). In nine (53%) of these outbreaks,</w:t>
      </w:r>
      <w:r w:rsidR="009B2629" w:rsidRPr="009B2629">
        <w:t xml:space="preserve"> </w:t>
      </w:r>
      <w:r w:rsidR="009B2629" w:rsidRPr="009B2629">
        <w:rPr>
          <w:vertAlign w:val="superscript"/>
        </w:rPr>
        <w:t>20,28,37,39,108,111,123</w:t>
      </w:r>
      <w:r>
        <w:t xml:space="preserve"> this intervention, along with others, contributed to the resolution of the outbreak with one study</w:t>
      </w:r>
      <w:r w:rsidRPr="00135C83">
        <w:rPr>
          <w:vertAlign w:val="superscript"/>
        </w:rPr>
        <w:t>3</w:t>
      </w:r>
      <w:r w:rsidR="009B2629">
        <w:rPr>
          <w:vertAlign w:val="superscript"/>
        </w:rPr>
        <w:t>9</w:t>
      </w:r>
      <w:r>
        <w:t xml:space="preserve"> specifically stating that AHR had a positive effect with people more likely to perform hand hygiene and comply with other interventions. From the studies which did not report any benefit, two of these studies</w:t>
      </w:r>
      <w:r w:rsidR="009B2629">
        <w:rPr>
          <w:vertAlign w:val="superscript"/>
        </w:rPr>
        <w:t>26,56</w:t>
      </w:r>
      <w:r>
        <w:t xml:space="preserve"> reported that </w:t>
      </w:r>
      <w:r w:rsidR="00EB2749">
        <w:t xml:space="preserve">the </w:t>
      </w:r>
      <w:r>
        <w:t>outbreak was contained only after thorough disinfection of the entire units</w:t>
      </w:r>
      <w:r w:rsidR="00EB2749">
        <w:t>.</w:t>
      </w:r>
      <w:r>
        <w:t xml:space="preserve"> </w:t>
      </w:r>
      <w:r w:rsidR="00EB2749">
        <w:t>O</w:t>
      </w:r>
      <w:r>
        <w:t>ne</w:t>
      </w:r>
      <w:r w:rsidRPr="00135C83">
        <w:rPr>
          <w:vertAlign w:val="superscript"/>
        </w:rPr>
        <w:t>1</w:t>
      </w:r>
      <w:r w:rsidR="009B2629">
        <w:rPr>
          <w:vertAlign w:val="superscript"/>
        </w:rPr>
        <w:t>9</w:t>
      </w:r>
      <w:r>
        <w:t xml:space="preserve"> attributed the outbreak control to a set of enhanced measures (e.g. entry and exit restrictions) and one</w:t>
      </w:r>
      <w:r w:rsidRPr="00135C83">
        <w:rPr>
          <w:vertAlign w:val="superscript"/>
        </w:rPr>
        <w:t>1</w:t>
      </w:r>
      <w:r w:rsidR="009B2629">
        <w:rPr>
          <w:vertAlign w:val="superscript"/>
        </w:rPr>
        <w:t>23</w:t>
      </w:r>
      <w:r>
        <w:t xml:space="preserve"> did not mention whether AHR introduction had any effect. After the introduction of the interventions, the number of affected cases was reported to vary from one to 92 (median 8.5, based on eight outbreaks reported by six studies</w:t>
      </w:r>
      <w:r w:rsidR="009B2629" w:rsidRPr="009B2629">
        <w:rPr>
          <w:vertAlign w:val="superscript"/>
        </w:rPr>
        <w:t>19,30,28,37,39,56</w:t>
      </w:r>
      <w:r>
        <w:t>) with the outbreaks lasting a further two to 19 days (median</w:t>
      </w:r>
      <w:r w:rsidR="001128A6">
        <w:t xml:space="preserve"> ten </w:t>
      </w:r>
      <w:r>
        <w:t>days, based on seven outbreaks reported by five studies</w:t>
      </w:r>
      <w:r w:rsidR="009B2629" w:rsidRPr="009B2629">
        <w:rPr>
          <w:vertAlign w:val="superscript"/>
        </w:rPr>
        <w:t>19,30,28,39,56</w:t>
      </w:r>
      <w:r>
        <w:t xml:space="preserve">). </w:t>
      </w:r>
    </w:p>
    <w:p w14:paraId="73962E3E" w14:textId="4887E27A" w:rsidR="00FF635C" w:rsidRDefault="00FF635C" w:rsidP="00CF7116">
      <w:pPr>
        <w:spacing w:before="240" w:line="276" w:lineRule="auto"/>
      </w:pPr>
      <w:r w:rsidRPr="0095272F">
        <w:t xml:space="preserve">There was </w:t>
      </w:r>
      <w:r>
        <w:t>weak evidence from one outbreak study</w:t>
      </w:r>
      <w:r w:rsidR="009B2629">
        <w:rPr>
          <w:vertAlign w:val="superscript"/>
        </w:rPr>
        <w:t>23</w:t>
      </w:r>
      <w:r>
        <w:t xml:space="preserve"> which reported that a switch was made from washing with soap and water to sanitising hands with AHR </w:t>
      </w:r>
      <w:r w:rsidR="00EB2749">
        <w:t>using</w:t>
      </w:r>
      <w:r>
        <w:t xml:space="preserve"> an WHO-recommended formula. The outbreak affected eight cases and lasted for five days. As a part of this intervention, it was reported that staff were closely observed for hand hygiene to ensure that it was used correctly. The study reported that switching to AHR, together with other interventions, had a positive effect on outbreak termination with an outbreak ending within two days and affecting </w:t>
      </w:r>
      <w:r w:rsidR="00EB2749">
        <w:t xml:space="preserve">a </w:t>
      </w:r>
      <w:r>
        <w:t xml:space="preserve">further five cases. </w:t>
      </w:r>
    </w:p>
    <w:p w14:paraId="6378F290" w14:textId="5CB8F7B3" w:rsidR="00FF635C" w:rsidRDefault="00FF635C" w:rsidP="00CF7116">
      <w:pPr>
        <w:spacing w:before="240" w:line="276" w:lineRule="auto"/>
      </w:pPr>
      <w:r w:rsidRPr="0095272F">
        <w:t xml:space="preserve">There was </w:t>
      </w:r>
      <w:r>
        <w:t>weak evidence from four outbreak studies which switched from regular soap to chlorhexidine-based soap (CHG) alone</w:t>
      </w:r>
      <w:r w:rsidR="009B2629" w:rsidRPr="009B2629">
        <w:rPr>
          <w:vertAlign w:val="superscript"/>
        </w:rPr>
        <w:t>22,114,123</w:t>
      </w:r>
      <w:r>
        <w:t xml:space="preserve"> or in combination with povidone iodine-based soap (PVP)</w:t>
      </w:r>
      <w:r w:rsidR="009B2629">
        <w:rPr>
          <w:vertAlign w:val="superscript"/>
        </w:rPr>
        <w:t>35</w:t>
      </w:r>
      <w:r>
        <w:t xml:space="preserve"> for enhanced hand hygiene during the outbreaks. The outbreaks affected between eleven and 97 cases (median 58) and lasted from five to 30 days (median 22 days). One of these studies</w:t>
      </w:r>
      <w:r w:rsidR="009B2629">
        <w:rPr>
          <w:vertAlign w:val="superscript"/>
        </w:rPr>
        <w:t>22</w:t>
      </w:r>
      <w:r>
        <w:t xml:space="preserve"> reported a positive outcome of using CHG soap with a quick outbreak resolution and no second wave or recurrence. Of the remaining three studies which did not report a benefit,</w:t>
      </w:r>
      <w:r w:rsidR="009B2629" w:rsidRPr="009B2629">
        <w:rPr>
          <w:vertAlign w:val="superscript"/>
        </w:rPr>
        <w:t>35,114,123</w:t>
      </w:r>
      <w:r>
        <w:t xml:space="preserve"> neither specifically commented on whether an introduction of CHG had any effect. Two studies reported that after the introduction of the interventions, including hand hygiene with CHG, outbreaks lasted three</w:t>
      </w:r>
      <w:r w:rsidR="009B2629">
        <w:rPr>
          <w:vertAlign w:val="superscript"/>
        </w:rPr>
        <w:t>22</w:t>
      </w:r>
      <w:r>
        <w:t xml:space="preserve"> and 21</w:t>
      </w:r>
      <w:r w:rsidR="009B2629">
        <w:rPr>
          <w:vertAlign w:val="superscript"/>
        </w:rPr>
        <w:t>35</w:t>
      </w:r>
      <w:r>
        <w:t xml:space="preserve"> days and affected between three</w:t>
      </w:r>
      <w:r w:rsidR="009B2629">
        <w:rPr>
          <w:vertAlign w:val="superscript"/>
        </w:rPr>
        <w:t>22</w:t>
      </w:r>
      <w:r>
        <w:t xml:space="preserve"> and 59</w:t>
      </w:r>
      <w:r w:rsidR="009B2629">
        <w:rPr>
          <w:vertAlign w:val="superscript"/>
        </w:rPr>
        <w:t>35</w:t>
      </w:r>
      <w:r>
        <w:t xml:space="preserve"> cases. </w:t>
      </w:r>
    </w:p>
    <w:p w14:paraId="31FE69D6" w14:textId="4912EBCA" w:rsidR="00FF635C" w:rsidRDefault="00FF635C" w:rsidP="00CF7116">
      <w:pPr>
        <w:spacing w:before="240" w:line="276" w:lineRule="auto"/>
      </w:pPr>
      <w:r w:rsidRPr="0095272F">
        <w:t xml:space="preserve">There was </w:t>
      </w:r>
      <w:r>
        <w:t>weak evidence from two outbreak studies</w:t>
      </w:r>
      <w:r>
        <w:rPr>
          <w:vertAlign w:val="superscript"/>
        </w:rPr>
        <w:t>2</w:t>
      </w:r>
      <w:r w:rsidR="009B2629">
        <w:rPr>
          <w:vertAlign w:val="superscript"/>
        </w:rPr>
        <w:t>7,128</w:t>
      </w:r>
      <w:r w:rsidRPr="00135C83">
        <w:t xml:space="preserve"> </w:t>
      </w:r>
      <w:r>
        <w:t>in which it was reported that during the outbreaks a switch from made from isopropanol</w:t>
      </w:r>
      <w:r w:rsidR="00E2003E">
        <w:t xml:space="preserve"> (IPA)</w:t>
      </w:r>
      <w:r>
        <w:t xml:space="preserve"> to </w:t>
      </w:r>
      <w:r w:rsidR="00E2003E">
        <w:t>ETA</w:t>
      </w:r>
      <w:r>
        <w:t xml:space="preserve">-based sanitiser for hand hygiene. The rationale for making the switch was provided by one study which mentioned that </w:t>
      </w:r>
      <w:r w:rsidR="00E2003E">
        <w:t>ETA</w:t>
      </w:r>
      <w:r>
        <w:t xml:space="preserve"> was able to destroy non-enveloped viruses faster.</w:t>
      </w:r>
      <w:r>
        <w:rPr>
          <w:vertAlign w:val="superscript"/>
        </w:rPr>
        <w:t>2</w:t>
      </w:r>
      <w:r w:rsidR="009B2629">
        <w:rPr>
          <w:vertAlign w:val="superscript"/>
        </w:rPr>
        <w:t>7</w:t>
      </w:r>
      <w:r>
        <w:t xml:space="preserve"> The outbreaks were reported to affect 63</w:t>
      </w:r>
      <w:r>
        <w:rPr>
          <w:vertAlign w:val="superscript"/>
        </w:rPr>
        <w:t>2</w:t>
      </w:r>
      <w:r w:rsidR="009B2629">
        <w:rPr>
          <w:vertAlign w:val="superscript"/>
        </w:rPr>
        <w:t>7</w:t>
      </w:r>
      <w:r>
        <w:t xml:space="preserve"> and 11</w:t>
      </w:r>
      <w:r w:rsidR="009B2629">
        <w:rPr>
          <w:vertAlign w:val="superscript"/>
        </w:rPr>
        <w:t>128</w:t>
      </w:r>
      <w:r>
        <w:t xml:space="preserve"> cases each and lasted for 32 and 38 days respectively. One study</w:t>
      </w:r>
      <w:r>
        <w:rPr>
          <w:vertAlign w:val="superscript"/>
        </w:rPr>
        <w:t>2</w:t>
      </w:r>
      <w:r w:rsidR="009B2629">
        <w:rPr>
          <w:vertAlign w:val="superscript"/>
        </w:rPr>
        <w:t>7</w:t>
      </w:r>
      <w:r>
        <w:t xml:space="preserve"> did not report a benefit of using this intervention and reported that the outbreak spread to another unit (number of further cases and duration not reported), while the other study</w:t>
      </w:r>
      <w:r w:rsidR="009B2629">
        <w:rPr>
          <w:vertAlign w:val="superscript"/>
        </w:rPr>
        <w:t>128</w:t>
      </w:r>
      <w:r>
        <w:t xml:space="preserve"> reported a benefit with only two further cases occurring over the next</w:t>
      </w:r>
      <w:r w:rsidR="001128A6">
        <w:t xml:space="preserve"> eleven </w:t>
      </w:r>
      <w:r>
        <w:t xml:space="preserve">days before the outbreak was successfully contained. </w:t>
      </w:r>
    </w:p>
    <w:p w14:paraId="082F0353" w14:textId="2FFE99B1" w:rsidR="00FF635C" w:rsidRDefault="00FF635C" w:rsidP="00CF7116">
      <w:pPr>
        <w:spacing w:before="240" w:line="276" w:lineRule="auto"/>
      </w:pPr>
      <w:r w:rsidRPr="0095272F">
        <w:t xml:space="preserve">There was </w:t>
      </w:r>
      <w:r>
        <w:t>weak evidence from one outbreak study</w:t>
      </w:r>
      <w:r>
        <w:rPr>
          <w:vertAlign w:val="superscript"/>
        </w:rPr>
        <w:t>2</w:t>
      </w:r>
      <w:r w:rsidR="009B2629">
        <w:rPr>
          <w:vertAlign w:val="superscript"/>
        </w:rPr>
        <w:t>4</w:t>
      </w:r>
      <w:r w:rsidRPr="00135C83">
        <w:t xml:space="preserve"> </w:t>
      </w:r>
      <w:r>
        <w:t xml:space="preserve">in which it was reported that insufficient hand hygiene facilities were available during the outbreak. This large outbreak affected 145 cases and lasted 63 days. While the control measures were introduced within four days of the outbreak, the outbreak still lasted for </w:t>
      </w:r>
      <w:r w:rsidR="00EB2749">
        <w:t xml:space="preserve">a </w:t>
      </w:r>
      <w:r>
        <w:t xml:space="preserve">further 59 days (number of cases not reported) and the authors attributed this to poor compliance with the interventions and a lack of appropriate hand-washing facilities, including none in the dining areas and patient rooms. </w:t>
      </w:r>
    </w:p>
    <w:p w14:paraId="0E9F2CB2" w14:textId="3CC8385C" w:rsidR="00FF635C" w:rsidRDefault="00FF635C" w:rsidP="00CF7116">
      <w:pPr>
        <w:spacing w:before="240" w:line="276" w:lineRule="auto"/>
        <w:rPr>
          <w:rFonts w:cstheme="minorHAnsi"/>
        </w:rPr>
      </w:pPr>
      <w:r w:rsidRPr="0095272F">
        <w:lastRenderedPageBreak/>
        <w:t xml:space="preserve">There was </w:t>
      </w:r>
      <w:r>
        <w:t>weak evidence from one surveillance study</w:t>
      </w:r>
      <w:r w:rsidR="009B2629">
        <w:rPr>
          <w:vertAlign w:val="superscript"/>
        </w:rPr>
        <w:t>129</w:t>
      </w:r>
      <w:r w:rsidRPr="00135C83">
        <w:t xml:space="preserve"> </w:t>
      </w:r>
      <w:r>
        <w:t>which reported the effectiveness of using</w:t>
      </w:r>
      <w:r w:rsidR="00EB2749">
        <w:t xml:space="preserve"> </w:t>
      </w:r>
      <w:r w:rsidR="00E2003E">
        <w:t>AHR</w:t>
      </w:r>
      <w:r>
        <w:t xml:space="preserve"> during the norovirus season in the community setting. The authors compared five years of surveillance data, with an influenza pandemic occurring in one of these years. The authors reported that during the pandemic year, the peak of norovirus cases was delayed by approximately seven to eight weeks and the incidence of weekly cases was lower than in other years. The authors also reported a significant, strong, negative correlation between the risk of norovirus infection and the nationwide consumption of skin antiseptics and hand soap products (R</w:t>
      </w:r>
      <w:r w:rsidRPr="00C902D4">
        <w:rPr>
          <w:vertAlign w:val="superscript"/>
        </w:rPr>
        <w:t>2</w:t>
      </w:r>
      <w:r>
        <w:t xml:space="preserve">=-0.97 and -0.93 respectively, p&lt;0.01 for both). </w:t>
      </w:r>
    </w:p>
    <w:p w14:paraId="0B825C38" w14:textId="615E7D43" w:rsidR="00FF635C" w:rsidRDefault="00FF635C" w:rsidP="00CF7116">
      <w:pPr>
        <w:spacing w:before="240" w:line="276" w:lineRule="auto"/>
      </w:pPr>
      <w:bookmarkStart w:id="17" w:name="_Hlk100675873"/>
      <w:r w:rsidRPr="0095272F">
        <w:t xml:space="preserve">There was </w:t>
      </w:r>
      <w:r>
        <w:t>weak evidence from eleven laboratory studies</w:t>
      </w:r>
      <w:r w:rsidR="00F05DC2">
        <w:rPr>
          <w:vertAlign w:val="superscript"/>
        </w:rPr>
        <w:t>130-140</w:t>
      </w:r>
      <w:r>
        <w:rPr>
          <w:vertAlign w:val="superscript"/>
        </w:rPr>
        <w:t xml:space="preserve"> </w:t>
      </w:r>
      <w:r>
        <w:t xml:space="preserve">which assessed the effect of alcohol-based sanitisers on the removal or inactivation of human norovirus (HNV), murine norovirus (MNV) and feline calicivirus (FCV) from the fingertips of the volunteers. </w:t>
      </w:r>
      <w:bookmarkEnd w:id="17"/>
      <w:r>
        <w:t xml:space="preserve">The studies used different concentrations of </w:t>
      </w:r>
      <w:r w:rsidR="00E2003E">
        <w:t>ETA</w:t>
      </w:r>
      <w:r w:rsidR="00F05DC2">
        <w:rPr>
          <w:vertAlign w:val="superscript"/>
        </w:rPr>
        <w:t>130-139</w:t>
      </w:r>
      <w:r>
        <w:t xml:space="preserve"> or </w:t>
      </w:r>
      <w:r w:rsidR="00E2003E">
        <w:t>IPA</w:t>
      </w:r>
      <w:r w:rsidR="00F05DC2" w:rsidRPr="00F05DC2">
        <w:rPr>
          <w:vertAlign w:val="superscript"/>
        </w:rPr>
        <w:t>130-133,137,140</w:t>
      </w:r>
      <w:r>
        <w:t xml:space="preserve"> alone or in combination with other agents.</w:t>
      </w:r>
      <w:r w:rsidRPr="00F81524">
        <w:rPr>
          <w:vertAlign w:val="superscript"/>
        </w:rPr>
        <w:t>27,30,31,34</w:t>
      </w:r>
      <w:r>
        <w:t xml:space="preserve"> In comparison to water, </w:t>
      </w:r>
      <w:r w:rsidR="00E2003E">
        <w:t>ETA</w:t>
      </w:r>
      <w:r>
        <w:t xml:space="preserve"> performed better in removing or inactivating HNV or its surrogates in four studies</w:t>
      </w:r>
      <w:r w:rsidRPr="00F81524">
        <w:rPr>
          <w:vertAlign w:val="superscript"/>
        </w:rPr>
        <w:t>25,28,32,34</w:t>
      </w:r>
      <w:r>
        <w:t xml:space="preserve"> Concentrations at which </w:t>
      </w:r>
      <w:r w:rsidR="00E2003E">
        <w:t>ETA</w:t>
      </w:r>
      <w:r>
        <w:t xml:space="preserve"> was reported to be beneficial were 62%,</w:t>
      </w:r>
      <w:r w:rsidR="00F05DC2">
        <w:rPr>
          <w:vertAlign w:val="superscript"/>
        </w:rPr>
        <w:t>133</w:t>
      </w:r>
      <w:r>
        <w:t xml:space="preserve"> 70%,</w:t>
      </w:r>
      <w:r w:rsidR="00F05DC2">
        <w:rPr>
          <w:vertAlign w:val="superscript"/>
        </w:rPr>
        <w:t>130,137</w:t>
      </w:r>
      <w:r>
        <w:t xml:space="preserve"> 90%,</w:t>
      </w:r>
      <w:r w:rsidR="00F05DC2">
        <w:rPr>
          <w:vertAlign w:val="superscript"/>
        </w:rPr>
        <w:t>130,139</w:t>
      </w:r>
      <w:r>
        <w:t xml:space="preserve"> and 99.5%</w:t>
      </w:r>
      <w:r w:rsidR="00F05DC2">
        <w:rPr>
          <w:vertAlign w:val="superscript"/>
        </w:rPr>
        <w:t>133</w:t>
      </w:r>
      <w:r>
        <w:t>. In further two studies water was equally or more effective in removing norovirus when compared to 70%</w:t>
      </w:r>
      <w:r w:rsidR="00F05DC2">
        <w:rPr>
          <w:vertAlign w:val="superscript"/>
        </w:rPr>
        <w:t>132</w:t>
      </w:r>
      <w:r>
        <w:rPr>
          <w:vertAlign w:val="superscript"/>
        </w:rPr>
        <w:t xml:space="preserve"> </w:t>
      </w:r>
      <w:r w:rsidRPr="00F81524">
        <w:t>and</w:t>
      </w:r>
      <w:r>
        <w:t xml:space="preserve"> 62%</w:t>
      </w:r>
      <w:r w:rsidR="00F05DC2">
        <w:rPr>
          <w:vertAlign w:val="superscript"/>
        </w:rPr>
        <w:t>134</w:t>
      </w:r>
      <w:r>
        <w:t xml:space="preserve"> of </w:t>
      </w:r>
      <w:r w:rsidR="00E2003E">
        <w:t>ETA</w:t>
      </w:r>
      <w:r>
        <w:t xml:space="preserve">. However, evidence suggests that </w:t>
      </w:r>
      <w:r w:rsidR="00EB2749">
        <w:t xml:space="preserve">a </w:t>
      </w:r>
      <w:r>
        <w:t xml:space="preserve">lower concentration was not necessarily associated with a reduced effect. Four studies showed that increasing the concentration of </w:t>
      </w:r>
      <w:r w:rsidR="00E2003E">
        <w:t>ETA</w:t>
      </w:r>
      <w:r>
        <w:t xml:space="preserve"> may result in the sanitiser being less effective than when </w:t>
      </w:r>
      <w:r w:rsidR="00E2003E">
        <w:t>ETA</w:t>
      </w:r>
      <w:r>
        <w:t xml:space="preserve"> is kept at mid-range concentrations.</w:t>
      </w:r>
      <w:r w:rsidRPr="00F81524">
        <w:rPr>
          <w:vertAlign w:val="superscript"/>
        </w:rPr>
        <w:t>25,26,30,33</w:t>
      </w:r>
      <w:r>
        <w:t xml:space="preserve"> In relation to isopropanol, four out of five studies</w:t>
      </w:r>
      <w:r w:rsidRPr="00F81524">
        <w:rPr>
          <w:vertAlign w:val="superscript"/>
        </w:rPr>
        <w:t>25,26,28,32</w:t>
      </w:r>
      <w:r>
        <w:t xml:space="preserve"> reported that, at similar concentrations, </w:t>
      </w:r>
      <w:r w:rsidR="00E2003E">
        <w:t>ETA</w:t>
      </w:r>
      <w:r>
        <w:t xml:space="preserve"> performed better at removing or inactivating HNV or its surrogates. The remaining fifth study</w:t>
      </w:r>
      <w:r w:rsidR="00F05DC2">
        <w:rPr>
          <w:vertAlign w:val="superscript"/>
        </w:rPr>
        <w:t>132</w:t>
      </w:r>
      <w:r>
        <w:t xml:space="preserve"> reported no significant difference between </w:t>
      </w:r>
      <w:r w:rsidR="00E2003E">
        <w:t>ETA</w:t>
      </w:r>
      <w:r>
        <w:t xml:space="preserve"> and </w:t>
      </w:r>
      <w:r w:rsidR="00E2003E">
        <w:t>IPA</w:t>
      </w:r>
      <w:r>
        <w:t xml:space="preserve">. When </w:t>
      </w:r>
      <w:r w:rsidR="00E2003E">
        <w:t>ETA</w:t>
      </w:r>
      <w:r>
        <w:t xml:space="preserve"> alone was compared to </w:t>
      </w:r>
      <w:r w:rsidR="00E2003E">
        <w:t>ETA</w:t>
      </w:r>
      <w:r>
        <w:t>-based sanitisers with other agents, it performed less efficiently in all four studies.</w:t>
      </w:r>
      <w:r w:rsidR="00F05DC2" w:rsidRPr="00F05DC2">
        <w:rPr>
          <w:vertAlign w:val="superscript"/>
        </w:rPr>
        <w:t>132,135,137,139</w:t>
      </w:r>
      <w:r>
        <w:t xml:space="preserve"> The efficiency of alcohol was affected by different types of organic loads present, with its efficiency reduced by almost half in faecal suspension (mean 1.45 log reduction) when compared to no organic load (mean 2.66 reduction) or foetal bovine serum (mean 2.62 reduction, p&lt;0.001 for both).</w:t>
      </w:r>
      <w:r w:rsidR="00F05DC2">
        <w:rPr>
          <w:vertAlign w:val="superscript"/>
        </w:rPr>
        <w:t>131</w:t>
      </w:r>
      <w:r>
        <w:t xml:space="preserve"> In comparison to water, </w:t>
      </w:r>
      <w:r w:rsidR="00E2003E">
        <w:t>IPA</w:t>
      </w:r>
      <w:r>
        <w:t xml:space="preserve"> performed marginally better in two studies</w:t>
      </w:r>
      <w:r w:rsidR="00F05DC2">
        <w:rPr>
          <w:vertAlign w:val="superscript"/>
        </w:rPr>
        <w:t>131,133</w:t>
      </w:r>
      <w:r>
        <w:t xml:space="preserve"> and worse in three studies.</w:t>
      </w:r>
      <w:r w:rsidR="00F05DC2" w:rsidRPr="00F05DC2">
        <w:rPr>
          <w:vertAlign w:val="superscript"/>
        </w:rPr>
        <w:t>130,132,140</w:t>
      </w:r>
      <w:r w:rsidRPr="00F81524">
        <w:t xml:space="preserve"> </w:t>
      </w:r>
      <w:r>
        <w:t>In comparison to another alcohol-based sanitiser (</w:t>
      </w:r>
      <w:r w:rsidRPr="00F81524">
        <w:t>55% ETA + 10% 1-IPA +5.9% propan-1.2-diol + 5.7% butan-1.3-diol + 0.7% phosphoric acid</w:t>
      </w:r>
      <w:r>
        <w:t xml:space="preserve">), </w:t>
      </w:r>
      <w:r w:rsidR="00E2003E">
        <w:t>IPA</w:t>
      </w:r>
      <w:r>
        <w:t xml:space="preserve"> performed significantly worse (p=0.0005).</w:t>
      </w:r>
      <w:r w:rsidR="00F05DC2">
        <w:rPr>
          <w:vertAlign w:val="superscript"/>
        </w:rPr>
        <w:t>132</w:t>
      </w:r>
      <w:r>
        <w:t xml:space="preserve"> Similar to </w:t>
      </w:r>
      <w:r w:rsidR="00E2003E">
        <w:t>ETA</w:t>
      </w:r>
      <w:r>
        <w:t xml:space="preserve">, </w:t>
      </w:r>
      <w:r w:rsidR="00E2003E">
        <w:t>IPA</w:t>
      </w:r>
      <w:r>
        <w:t xml:space="preserve"> tended to perform better at mid-range concentrations of 50% vs 90% or higher</w:t>
      </w:r>
      <w:r w:rsidR="00F05DC2">
        <w:rPr>
          <w:vertAlign w:val="superscript"/>
        </w:rPr>
        <w:t>130,133</w:t>
      </w:r>
      <w:r>
        <w:t xml:space="preserve"> and was less effective when a faecal load was present.</w:t>
      </w:r>
      <w:r w:rsidR="00F05DC2">
        <w:rPr>
          <w:vertAlign w:val="superscript"/>
        </w:rPr>
        <w:t>131</w:t>
      </w:r>
      <w:r>
        <w:t xml:space="preserve"> Additionally, 1-propanol performed better than 2-propoanol at similar concentrations.</w:t>
      </w:r>
      <w:r w:rsidR="00F05DC2">
        <w:rPr>
          <w:vertAlign w:val="superscript"/>
        </w:rPr>
        <w:t>130</w:t>
      </w:r>
      <w:r>
        <w:rPr>
          <w:vertAlign w:val="superscript"/>
        </w:rPr>
        <w:t xml:space="preserve"> </w:t>
      </w:r>
      <w:r>
        <w:t xml:space="preserve">For other alcohol-based sanitisers: Purell VF447® and VF481® performed significantly better than other sanitisers (original formula Purell® hand sanitiser [except VF447], Endure 300®, Sterillium Virugard®, </w:t>
      </w:r>
      <w:proofErr w:type="spellStart"/>
      <w:r>
        <w:t>Germstar</w:t>
      </w:r>
      <w:proofErr w:type="spellEnd"/>
      <w:r>
        <w:t xml:space="preserve"> Noro ® and </w:t>
      </w:r>
      <w:proofErr w:type="spellStart"/>
      <w:r>
        <w:t>Anios</w:t>
      </w:r>
      <w:proofErr w:type="spellEnd"/>
      <w:r>
        <w:t xml:space="preserve"> Gel ®);</w:t>
      </w:r>
      <w:r w:rsidR="00F05DC2">
        <w:rPr>
          <w:vertAlign w:val="superscript"/>
        </w:rPr>
        <w:t>135</w:t>
      </w:r>
      <w:r w:rsidR="00F05DC2" w:rsidRPr="00F05DC2">
        <w:t xml:space="preserve"> </w:t>
      </w:r>
      <w:r>
        <w:t xml:space="preserve">Purell VF447 performed better than 75% </w:t>
      </w:r>
      <w:r w:rsidR="00E2003E">
        <w:t>ETA</w:t>
      </w:r>
      <w:r>
        <w:t>;</w:t>
      </w:r>
      <w:r w:rsidR="00F05DC2">
        <w:rPr>
          <w:vertAlign w:val="superscript"/>
        </w:rPr>
        <w:t>136</w:t>
      </w:r>
      <w:r>
        <w:t xml:space="preserve"> </w:t>
      </w:r>
      <w:r w:rsidR="00E2003E">
        <w:t>ETA</w:t>
      </w:r>
      <w:r>
        <w:t xml:space="preserve"> (45% or 55%) with phosphoric acid performed better than 90% </w:t>
      </w:r>
      <w:r w:rsidR="00E2003E">
        <w:t>ETA</w:t>
      </w:r>
      <w:r>
        <w:t>, CHG soap and water and similar to PVP and triclosan soaps</w:t>
      </w:r>
      <w:r w:rsidR="00F05DC2">
        <w:rPr>
          <w:vertAlign w:val="superscript"/>
        </w:rPr>
        <w:t>139</w:t>
      </w:r>
      <w:r>
        <w:t xml:space="preserve"> and one test sanitiser (</w:t>
      </w:r>
      <w:bookmarkStart w:id="18" w:name="_Hlk100674514"/>
      <w:r>
        <w:t>55% ETA + 10% 1-IPA +5.9% propan-1.2-diol + 5.7% butan-1.3-diol + 0.7% phosphoric acid</w:t>
      </w:r>
      <w:bookmarkEnd w:id="18"/>
      <w:r>
        <w:t xml:space="preserve">) performed significantly better than 70% </w:t>
      </w:r>
      <w:r w:rsidR="005834C7">
        <w:t>ETA</w:t>
      </w:r>
      <w:r>
        <w:t xml:space="preserve">, 70% </w:t>
      </w:r>
      <w:r w:rsidR="005834C7">
        <w:t>IPA</w:t>
      </w:r>
      <w:r>
        <w:t xml:space="preserve"> and water.</w:t>
      </w:r>
      <w:r w:rsidR="00F05DC2">
        <w:rPr>
          <w:vertAlign w:val="superscript"/>
        </w:rPr>
        <w:t>133</w:t>
      </w:r>
      <w:r>
        <w:t xml:space="preserve"> </w:t>
      </w:r>
    </w:p>
    <w:p w14:paraId="2318829F" w14:textId="5B4794C7" w:rsidR="00FF635C" w:rsidRDefault="00FF635C" w:rsidP="00CF7116">
      <w:pPr>
        <w:spacing w:before="240" w:line="276" w:lineRule="auto"/>
      </w:pPr>
      <w:r w:rsidRPr="0095272F">
        <w:t xml:space="preserve">There was </w:t>
      </w:r>
      <w:r>
        <w:t>weak evidence from two laboratory studies</w:t>
      </w:r>
      <w:r w:rsidR="00F05DC2">
        <w:rPr>
          <w:vertAlign w:val="superscript"/>
        </w:rPr>
        <w:t>139,141</w:t>
      </w:r>
      <w:r>
        <w:rPr>
          <w:vertAlign w:val="superscript"/>
        </w:rPr>
        <w:t xml:space="preserve"> </w:t>
      </w:r>
      <w:r>
        <w:t xml:space="preserve">which assessed the effect of </w:t>
      </w:r>
      <w:r w:rsidR="00E2003E">
        <w:t>CHG</w:t>
      </w:r>
      <w:r>
        <w:t xml:space="preserve"> soap on the removal of MNV from the fingertips of volunteers. In one study, CHG was less effective in relation to soap or PVP regardless of the amount of product used (3ml or 5ml) or the exposure time (15, 30 or 60</w:t>
      </w:r>
      <w:r w:rsidR="001128A6">
        <w:t xml:space="preserve"> </w:t>
      </w:r>
      <w:r>
        <w:t>sec</w:t>
      </w:r>
      <w:r w:rsidR="001128A6">
        <w:t>onds</w:t>
      </w:r>
      <w:r>
        <w:t>).</w:t>
      </w:r>
      <w:r w:rsidR="00F05DC2">
        <w:rPr>
          <w:vertAlign w:val="superscript"/>
        </w:rPr>
        <w:t>141</w:t>
      </w:r>
      <w:r>
        <w:t xml:space="preserve"> In another study,</w:t>
      </w:r>
      <w:r w:rsidR="00F05DC2">
        <w:rPr>
          <w:vertAlign w:val="superscript"/>
        </w:rPr>
        <w:t>139</w:t>
      </w:r>
      <w:r>
        <w:t xml:space="preserve"> CHG was significantly less effective than water </w:t>
      </w:r>
      <w:r>
        <w:lastRenderedPageBreak/>
        <w:t xml:space="preserve">(p&lt;0.001), as well as other sanitisers and soaps tested including 90% </w:t>
      </w:r>
      <w:r w:rsidR="00E2003E">
        <w:t>ETA</w:t>
      </w:r>
      <w:r>
        <w:t xml:space="preserve">, </w:t>
      </w:r>
      <w:r w:rsidR="00E2003E">
        <w:t>ETA</w:t>
      </w:r>
      <w:r>
        <w:t xml:space="preserve"> with phosphoric acid, triclosan soap and PVP soap. </w:t>
      </w:r>
    </w:p>
    <w:p w14:paraId="7E57E307" w14:textId="78DF4538" w:rsidR="00FF635C" w:rsidRDefault="00FF635C" w:rsidP="00CF7116">
      <w:pPr>
        <w:spacing w:before="240" w:line="276" w:lineRule="auto"/>
      </w:pPr>
      <w:r w:rsidRPr="0095272F">
        <w:t xml:space="preserve">There was </w:t>
      </w:r>
      <w:r>
        <w:t>weak evidence from three laboratory studies</w:t>
      </w:r>
      <w:r w:rsidR="00F05DC2" w:rsidRPr="00F05DC2">
        <w:rPr>
          <w:vertAlign w:val="superscript"/>
        </w:rPr>
        <w:t>133,139,141</w:t>
      </w:r>
      <w:r>
        <w:rPr>
          <w:vertAlign w:val="superscript"/>
        </w:rPr>
        <w:t xml:space="preserve"> </w:t>
      </w:r>
      <w:r>
        <w:t xml:space="preserve">which assessed the effect of </w:t>
      </w:r>
      <w:r w:rsidR="00E2003E">
        <w:t>PVP</w:t>
      </w:r>
      <w:r>
        <w:t xml:space="preserve"> soap on the removal of MNV and FCV from the fingertips of volunteers. In one study,</w:t>
      </w:r>
      <w:r w:rsidR="00F05DC2">
        <w:rPr>
          <w:vertAlign w:val="superscript"/>
        </w:rPr>
        <w:t>141</w:t>
      </w:r>
      <w:r>
        <w:t xml:space="preserve"> PVP was significantly more effective than water (except in one scenario when the shortest exposure time and the least amount of the product was used, p values not provided) as well as significantly better than </w:t>
      </w:r>
      <w:r w:rsidR="00E2003E">
        <w:t>CHG</w:t>
      </w:r>
      <w:r>
        <w:t xml:space="preserve"> (in all scenarios, p value not provided). In two other studies,</w:t>
      </w:r>
      <w:r w:rsidR="00F05DC2">
        <w:rPr>
          <w:vertAlign w:val="superscript"/>
        </w:rPr>
        <w:t>133,139</w:t>
      </w:r>
      <w:r>
        <w:t xml:space="preserve"> PVP was the most effective compared to water, different alcohol based sanitisers, and different types of soap (p values not provided).</w:t>
      </w:r>
      <w:r w:rsidR="000E41A6">
        <w:t xml:space="preserve"> </w:t>
      </w:r>
    </w:p>
    <w:p w14:paraId="0CAD7882" w14:textId="19E8A7B2" w:rsidR="00FF635C" w:rsidRDefault="00FF635C" w:rsidP="00CF7116">
      <w:pPr>
        <w:spacing w:before="240" w:line="276" w:lineRule="auto"/>
      </w:pPr>
      <w:r w:rsidRPr="0095272F">
        <w:t xml:space="preserve">There was </w:t>
      </w:r>
      <w:r>
        <w:t>weak evidence from one laboratory study</w:t>
      </w:r>
      <w:r w:rsidR="00F05DC2">
        <w:rPr>
          <w:vertAlign w:val="superscript"/>
        </w:rPr>
        <w:t>133</w:t>
      </w:r>
      <w:r>
        <w:rPr>
          <w:vertAlign w:val="superscript"/>
        </w:rPr>
        <w:t xml:space="preserve"> </w:t>
      </w:r>
      <w:r>
        <w:t xml:space="preserve">which assessed the effect of 3% hydrogen peroxide solution on the removal of FCV from the fingertips of volunteers. At 30 seconds, hydrogen peroxide was less effective than water, </w:t>
      </w:r>
      <w:r w:rsidR="00E2003E">
        <w:t>ETA</w:t>
      </w:r>
      <w:r>
        <w:t xml:space="preserve">, 70% </w:t>
      </w:r>
      <w:r w:rsidR="00E2003E">
        <w:t>IPA</w:t>
      </w:r>
      <w:r>
        <w:t xml:space="preserve">, PVP-based soap and 0.115% triclosan soap and had a similar performance to 91% </w:t>
      </w:r>
      <w:r w:rsidR="00E2003E">
        <w:t>IPA</w:t>
      </w:r>
      <w:r>
        <w:t>, 0.6% triclosan soap and benzalkonium chloride</w:t>
      </w:r>
      <w:r w:rsidR="00E2003E">
        <w:t xml:space="preserve"> (BAC)</w:t>
      </w:r>
      <w:r>
        <w:t>. At two minutes, it performed marginally better than water but was still less effective than most sanitisers.</w:t>
      </w:r>
    </w:p>
    <w:p w14:paraId="75F4DB88" w14:textId="08508AD1" w:rsidR="00FF635C" w:rsidRPr="00F81524" w:rsidRDefault="00FF635C" w:rsidP="00CF7116">
      <w:pPr>
        <w:spacing w:before="240" w:line="276" w:lineRule="auto"/>
      </w:pPr>
      <w:r w:rsidRPr="0095272F">
        <w:t xml:space="preserve">There was </w:t>
      </w:r>
      <w:r>
        <w:t>weak evidence from three laboratory studies</w:t>
      </w:r>
      <w:r w:rsidR="00F05DC2" w:rsidRPr="00F05DC2">
        <w:rPr>
          <w:vertAlign w:val="superscript"/>
        </w:rPr>
        <w:t>133,134,139</w:t>
      </w:r>
      <w:r>
        <w:rPr>
          <w:vertAlign w:val="superscript"/>
        </w:rPr>
        <w:t xml:space="preserve"> </w:t>
      </w:r>
      <w:r>
        <w:t>which assessed the effect of triclosan-containing soap on the removal of HNV, MNV and FCV from the fingertips of volunteers. In one study,</w:t>
      </w:r>
      <w:r w:rsidR="00F05DC2">
        <w:rPr>
          <w:vertAlign w:val="superscript"/>
        </w:rPr>
        <w:t>133</w:t>
      </w:r>
      <w:r>
        <w:t xml:space="preserve"> triclosan at concentrations of 0.60% and 0.115% was as effective as water and less effective than other sanitisers (</w:t>
      </w:r>
      <w:r w:rsidR="00E2003E">
        <w:t>ETA</w:t>
      </w:r>
      <w:r>
        <w:t xml:space="preserve">, 70% </w:t>
      </w:r>
      <w:r w:rsidR="00E2003E">
        <w:t>IPA</w:t>
      </w:r>
      <w:r>
        <w:t>, PVP soap). In another study,</w:t>
      </w:r>
      <w:r w:rsidR="00F05DC2">
        <w:rPr>
          <w:vertAlign w:val="superscript"/>
        </w:rPr>
        <w:t>134</w:t>
      </w:r>
      <w:r>
        <w:t xml:space="preserve"> it was more effective than not removing HNV at all (dry control) but similarly effective when compared with water. In the last study,</w:t>
      </w:r>
      <w:r w:rsidR="00F05DC2">
        <w:rPr>
          <w:vertAlign w:val="superscript"/>
        </w:rPr>
        <w:t>139</w:t>
      </w:r>
      <w:r>
        <w:t xml:space="preserve"> at concentration of 1%, triclosan was significantly more effective than water, although it was still less effective than PVP soap and 45% </w:t>
      </w:r>
      <w:r w:rsidR="00E2003E">
        <w:t>ETA</w:t>
      </w:r>
      <w:r>
        <w:t xml:space="preserve"> with phosphoric acid. </w:t>
      </w:r>
    </w:p>
    <w:p w14:paraId="4D96D51C" w14:textId="35DD9374" w:rsidR="00FF635C" w:rsidRDefault="00FF635C" w:rsidP="00CF7116">
      <w:pPr>
        <w:spacing w:before="240" w:line="276" w:lineRule="auto"/>
      </w:pPr>
      <w:r w:rsidRPr="0095272F">
        <w:t xml:space="preserve">There was </w:t>
      </w:r>
      <w:r>
        <w:t>weak evidence from two laboratory studies</w:t>
      </w:r>
      <w:r w:rsidR="00F05DC2">
        <w:rPr>
          <w:vertAlign w:val="superscript"/>
        </w:rPr>
        <w:t>133,142</w:t>
      </w:r>
      <w:r>
        <w:rPr>
          <w:vertAlign w:val="superscript"/>
        </w:rPr>
        <w:t xml:space="preserve"> </w:t>
      </w:r>
      <w:r>
        <w:t>which assessed the effect of BAC on the removal of HNV and FCV from the fingertips of volunteers. In one study,</w:t>
      </w:r>
      <w:r w:rsidR="00F05DC2">
        <w:rPr>
          <w:vertAlign w:val="superscript"/>
        </w:rPr>
        <w:t>133</w:t>
      </w:r>
      <w:r>
        <w:t xml:space="preserve"> 0.13% water-based BAC product was less effective in removing FCV than water and other sanitisers and hand soaps. In another study,</w:t>
      </w:r>
      <w:r w:rsidR="00F05DC2">
        <w:rPr>
          <w:vertAlign w:val="superscript"/>
        </w:rPr>
        <w:t>142</w:t>
      </w:r>
      <w:r>
        <w:t xml:space="preserve"> a sanitiser based on 60% </w:t>
      </w:r>
      <w:r w:rsidR="00E2003E">
        <w:t>ETA</w:t>
      </w:r>
      <w:r>
        <w:t xml:space="preserve"> with BAC was significantly more effective than using 60% </w:t>
      </w:r>
      <w:r w:rsidR="00E2003E">
        <w:t>ETA</w:t>
      </w:r>
      <w:r>
        <w:t xml:space="preserve"> alone. Additionally, when HNV was inoculated either immediately or four hours after the application of the </w:t>
      </w:r>
      <w:r w:rsidR="00E2003E">
        <w:t>ETA</w:t>
      </w:r>
      <w:r>
        <w:t xml:space="preserve">/BAC sanitiser, the sanitiser was less but still effective in reducing HNV contamination of fingerpads comparing to </w:t>
      </w:r>
      <w:r w:rsidR="00E2003E">
        <w:t>ETA</w:t>
      </w:r>
      <w:r>
        <w:t xml:space="preserve"> itself which had no effect. </w:t>
      </w:r>
    </w:p>
    <w:p w14:paraId="2E7A71CF" w14:textId="2E7C69F7" w:rsidR="00FF635C" w:rsidRDefault="00FF635C" w:rsidP="00CF7116">
      <w:pPr>
        <w:spacing w:before="240" w:line="276" w:lineRule="auto"/>
      </w:pPr>
      <w:r w:rsidRPr="0095272F">
        <w:t xml:space="preserve">There was </w:t>
      </w:r>
      <w:r>
        <w:t>weak evidence from three simulation studies</w:t>
      </w:r>
      <w:r w:rsidR="00F05DC2" w:rsidRPr="00F05DC2">
        <w:rPr>
          <w:vertAlign w:val="superscript"/>
        </w:rPr>
        <w:t>143-145</w:t>
      </w:r>
      <w:r>
        <w:rPr>
          <w:vertAlign w:val="superscript"/>
        </w:rPr>
        <w:t xml:space="preserve"> </w:t>
      </w:r>
      <w:r>
        <w:t>which assessed the effect of different types of washing and sanitising techniques on the removal of MNV and FCV from the hands of volunteers or the subsequent contamination of other surfaces. In one study,</w:t>
      </w:r>
      <w:r w:rsidR="00F05DC2">
        <w:rPr>
          <w:vertAlign w:val="superscript"/>
        </w:rPr>
        <w:t>143</w:t>
      </w:r>
      <w:r>
        <w:t xml:space="preserve"> which compared using water with or without soap (hands dried with a paper towel) or </w:t>
      </w:r>
      <w:r w:rsidR="00E2003E">
        <w:t>ETA</w:t>
      </w:r>
      <w:r>
        <w:t>-based sanitisers (62% and 75%, hands air-dried) on the amount of virus transferred onto ham, lettuce and stainless steel surfaces, either method was significantly better than not washing or sanitising at all (p&lt;0.004 for all), but hand washing with or without the soap was still more effective than using a sanitiser. In another study,</w:t>
      </w:r>
      <w:r w:rsidR="00F05DC2">
        <w:rPr>
          <w:vertAlign w:val="superscript"/>
        </w:rPr>
        <w:t>144</w:t>
      </w:r>
      <w:r>
        <w:t xml:space="preserve"> handwashing with soap was significantly less effective (1.79 log</w:t>
      </w:r>
      <w:r w:rsidRPr="004658E0">
        <w:rPr>
          <w:vertAlign w:val="subscript"/>
        </w:rPr>
        <w:t>10</w:t>
      </w:r>
      <w:r>
        <w:t xml:space="preserve"> reduction) than other protocols which used hand rub using 70% </w:t>
      </w:r>
      <w:r w:rsidR="00E2003E">
        <w:t>ETA</w:t>
      </w:r>
      <w:r>
        <w:t xml:space="preserve"> (2.60 log</w:t>
      </w:r>
      <w:r w:rsidRPr="004658E0">
        <w:rPr>
          <w:vertAlign w:val="subscript"/>
        </w:rPr>
        <w:t>10</w:t>
      </w:r>
      <w:r>
        <w:t xml:space="preserve"> reduction), handwash followed by the hand rub (3.19 log</w:t>
      </w:r>
      <w:r w:rsidRPr="004658E0">
        <w:rPr>
          <w:vertAlign w:val="subscript"/>
        </w:rPr>
        <w:t>10</w:t>
      </w:r>
      <w:r>
        <w:t xml:space="preserve"> reduction) or a protocol where hand sanitiser was used twice, with hands wiped on paper towels between the AHR applications (4.04 log</w:t>
      </w:r>
      <w:r w:rsidRPr="004658E0">
        <w:rPr>
          <w:vertAlign w:val="subscript"/>
        </w:rPr>
        <w:t>10</w:t>
      </w:r>
      <w:r>
        <w:t xml:space="preserve"> reduction). However, it is worth noting that in the hand wash protocol hands were only pat-dried on the paper towels, which may have been less effective in removal of the virus comparing to wiping the hands on the paper towels. In the last </w:t>
      </w:r>
      <w:r>
        <w:lastRenderedPageBreak/>
        <w:t>study,</w:t>
      </w:r>
      <w:r w:rsidR="00F05DC2">
        <w:rPr>
          <w:vertAlign w:val="superscript"/>
        </w:rPr>
        <w:t>145</w:t>
      </w:r>
      <w:r>
        <w:t xml:space="preserve"> which compared different types of hand hygiene protocol on removal of FCV from natural and artificial nails, washing protocols which involved tap water only, water and soap, water with antibacterial soap or water followed by hand sanitiser (concentration and ingredients not reported) were equally effective in removing the virus. Application of a hand sanitiser alone was significantly less effective than washing with water only (p&lt;0.05) and the best results were obtained when handwash with soap, water and </w:t>
      </w:r>
      <w:r w:rsidR="00EB2749">
        <w:t>a</w:t>
      </w:r>
      <w:r>
        <w:t xml:space="preserve"> hand brush were used to remove the virus (p&lt;0.05). The authors also reported that before handwashing/sanitising, hands with artificial nails were significantly more contaminated when compared to those with natural nails but that even though all hand washing protocols removed FCV, hands with artificial nails had </w:t>
      </w:r>
      <w:r w:rsidR="00EB2749">
        <w:t xml:space="preserve">a </w:t>
      </w:r>
      <w:r>
        <w:t xml:space="preserve">significantly higher number of infectious virus copies compared to hands with natural nails. </w:t>
      </w:r>
    </w:p>
    <w:p w14:paraId="2A6CD57D" w14:textId="72EA0CCF" w:rsidR="00FF635C" w:rsidRPr="004B70A3" w:rsidRDefault="00FF635C" w:rsidP="00CF7116">
      <w:pPr>
        <w:spacing w:before="240" w:line="276" w:lineRule="auto"/>
        <w:rPr>
          <w:rFonts w:cstheme="minorHAnsi"/>
          <w:i/>
          <w:iCs/>
        </w:rPr>
      </w:pPr>
      <w:r w:rsidRPr="004B70A3">
        <w:rPr>
          <w:rFonts w:cstheme="minorHAnsi"/>
          <w:i/>
          <w:iCs/>
        </w:rPr>
        <w:t xml:space="preserve">The Working Party discussed the above evidence and concluded that hand hygiene with soap and water is currently the best option for removing norovirus. During outbreak situations, or when norovirus is present in the facility, there may be a need to temporarily remove AHR and encourage all individuals to wash their hands with soap and water. This can only be achieved by providing appropriate information to staff, patients, and visitors, and ensuring that suitable facilities for handwashing are available. Additionally, there may also be a need to monitor hand hygiene to ensure that after the removal of AHR, hand washing takes place rather than staff and other individuals omitting this essential process. Special consideration needs to be given to patients who require assistance in performing hand hygiene; depending on </w:t>
      </w:r>
      <w:r w:rsidR="004B70A3" w:rsidRPr="004B70A3">
        <w:rPr>
          <w:rFonts w:cstheme="minorHAnsi"/>
          <w:i/>
          <w:iCs/>
        </w:rPr>
        <w:t>the</w:t>
      </w:r>
      <w:r w:rsidRPr="004B70A3">
        <w:rPr>
          <w:rFonts w:cstheme="minorHAnsi"/>
          <w:i/>
          <w:iCs/>
        </w:rPr>
        <w:t xml:space="preserve"> type of the patient this may include either reminders, providing access to hand washing facilities, </w:t>
      </w:r>
      <w:r w:rsidR="004B70A3" w:rsidRPr="004B70A3">
        <w:rPr>
          <w:rFonts w:cstheme="minorHAnsi"/>
          <w:i/>
          <w:iCs/>
        </w:rPr>
        <w:t xml:space="preserve">assisting with </w:t>
      </w:r>
      <w:r w:rsidRPr="004B70A3">
        <w:rPr>
          <w:rFonts w:cstheme="minorHAnsi"/>
          <w:i/>
          <w:iCs/>
        </w:rPr>
        <w:t xml:space="preserve">washing </w:t>
      </w:r>
      <w:r w:rsidR="004B70A3" w:rsidRPr="004B70A3">
        <w:rPr>
          <w:rFonts w:cstheme="minorHAnsi"/>
          <w:i/>
          <w:iCs/>
        </w:rPr>
        <w:t>patients’</w:t>
      </w:r>
      <w:r w:rsidRPr="004B70A3">
        <w:rPr>
          <w:rFonts w:cstheme="minorHAnsi"/>
          <w:i/>
          <w:iCs/>
        </w:rPr>
        <w:t xml:space="preserve"> hands</w:t>
      </w:r>
      <w:r w:rsidR="00953810">
        <w:rPr>
          <w:rFonts w:cstheme="minorHAnsi"/>
          <w:i/>
          <w:iCs/>
        </w:rPr>
        <w:t>,</w:t>
      </w:r>
      <w:r w:rsidRPr="004B70A3">
        <w:rPr>
          <w:rFonts w:cstheme="minorHAnsi"/>
          <w:i/>
          <w:iCs/>
        </w:rPr>
        <w:t xml:space="preserve"> </w:t>
      </w:r>
      <w:r w:rsidR="004B70A3">
        <w:rPr>
          <w:rFonts w:cstheme="minorHAnsi"/>
          <w:i/>
          <w:iCs/>
        </w:rPr>
        <w:t>or providing alternatives to soap and water as appropriate</w:t>
      </w:r>
      <w:r w:rsidRPr="004B70A3">
        <w:rPr>
          <w:rFonts w:cstheme="minorHAnsi"/>
          <w:i/>
          <w:iCs/>
        </w:rPr>
        <w:t xml:space="preserve">. </w:t>
      </w:r>
    </w:p>
    <w:p w14:paraId="2C46D43C" w14:textId="77777777" w:rsidR="00FF635C" w:rsidRPr="00953810" w:rsidRDefault="00FF635C" w:rsidP="00CF7116">
      <w:pPr>
        <w:spacing w:line="276" w:lineRule="auto"/>
        <w:rPr>
          <w:b/>
          <w:bCs/>
        </w:rPr>
      </w:pPr>
      <w:r w:rsidRPr="00953810">
        <w:rPr>
          <w:b/>
          <w:bCs/>
        </w:rPr>
        <w:t>Recommendations:</w:t>
      </w:r>
    </w:p>
    <w:p w14:paraId="3448C1A3" w14:textId="627B8FD6" w:rsidR="00FF635C" w:rsidRPr="004B70A3" w:rsidRDefault="00FF635C" w:rsidP="00CF7116">
      <w:pPr>
        <w:spacing w:before="240" w:line="276" w:lineRule="auto"/>
      </w:pPr>
      <w:r w:rsidRPr="004B70A3">
        <w:rPr>
          <w:b/>
          <w:bCs/>
        </w:rPr>
        <w:t>1</w:t>
      </w:r>
      <w:r w:rsidR="00953810">
        <w:rPr>
          <w:b/>
          <w:bCs/>
        </w:rPr>
        <w:t>4</w:t>
      </w:r>
      <w:r w:rsidRPr="004B70A3">
        <w:rPr>
          <w:b/>
          <w:bCs/>
        </w:rPr>
        <w:t>.1</w:t>
      </w:r>
      <w:r w:rsidR="00953810">
        <w:rPr>
          <w:b/>
          <w:bCs/>
        </w:rPr>
        <w:t>:</w:t>
      </w:r>
      <w:r w:rsidRPr="004B70A3">
        <w:t xml:space="preserve"> During norovirus outbreaks, encourage all individuals to perform stringent hand hygiene using soap and water. </w:t>
      </w:r>
    </w:p>
    <w:p w14:paraId="66395AC3" w14:textId="4BC51320" w:rsidR="00FF635C" w:rsidRPr="004B70A3" w:rsidRDefault="00FF635C" w:rsidP="00CF7116">
      <w:pPr>
        <w:spacing w:before="240" w:line="276" w:lineRule="auto"/>
      </w:pPr>
      <w:r w:rsidRPr="004B70A3">
        <w:rPr>
          <w:b/>
          <w:bCs/>
        </w:rPr>
        <w:t>1</w:t>
      </w:r>
      <w:r w:rsidR="00953810">
        <w:rPr>
          <w:b/>
          <w:bCs/>
        </w:rPr>
        <w:t>4</w:t>
      </w:r>
      <w:r w:rsidRPr="004B70A3">
        <w:rPr>
          <w:b/>
          <w:bCs/>
        </w:rPr>
        <w:t>.2</w:t>
      </w:r>
      <w:r w:rsidR="00953810">
        <w:rPr>
          <w:b/>
          <w:bCs/>
        </w:rPr>
        <w:t>:</w:t>
      </w:r>
      <w:r w:rsidRPr="004B70A3">
        <w:t xml:space="preserve"> Consider monitoring whether appropriate hand washing takes place. </w:t>
      </w:r>
    </w:p>
    <w:p w14:paraId="415BCECB" w14:textId="77777777" w:rsidR="00FF635C" w:rsidRPr="00953810" w:rsidRDefault="00FF635C" w:rsidP="00CF7116">
      <w:pPr>
        <w:spacing w:line="276" w:lineRule="auto"/>
        <w:rPr>
          <w:b/>
          <w:bCs/>
        </w:rPr>
      </w:pPr>
      <w:r w:rsidRPr="00953810">
        <w:rPr>
          <w:b/>
          <w:bCs/>
        </w:rPr>
        <w:t>Good practice points:</w:t>
      </w:r>
    </w:p>
    <w:p w14:paraId="7A19276C" w14:textId="0B73B3B9" w:rsidR="00FF635C" w:rsidRDefault="00FF635C" w:rsidP="00CF7116">
      <w:pPr>
        <w:spacing w:before="240" w:line="276" w:lineRule="auto"/>
      </w:pPr>
      <w:r w:rsidRPr="004B70A3">
        <w:rPr>
          <w:b/>
          <w:bCs/>
        </w:rPr>
        <w:t>GPP 1</w:t>
      </w:r>
      <w:r w:rsidR="00953810">
        <w:rPr>
          <w:b/>
          <w:bCs/>
        </w:rPr>
        <w:t>4</w:t>
      </w:r>
      <w:r w:rsidRPr="004B70A3">
        <w:rPr>
          <w:b/>
          <w:bCs/>
        </w:rPr>
        <w:t>.1</w:t>
      </w:r>
      <w:r w:rsidR="00953810">
        <w:rPr>
          <w:b/>
          <w:bCs/>
        </w:rPr>
        <w:t>:</w:t>
      </w:r>
      <w:r w:rsidRPr="004B70A3">
        <w:t xml:space="preserve"> Encourage </w:t>
      </w:r>
      <w:r w:rsidR="004B70A3">
        <w:t xml:space="preserve">the use of </w:t>
      </w:r>
      <w:r w:rsidRPr="004B70A3">
        <w:t xml:space="preserve">appropriate hand washing technique </w:t>
      </w:r>
      <w:r w:rsidR="00EB2749">
        <w:t>with</w:t>
      </w:r>
      <w:r w:rsidRPr="004B70A3">
        <w:t xml:space="preserve"> the WHO five moments of hand hygiene.</w:t>
      </w:r>
      <w:r>
        <w:t xml:space="preserve"> </w:t>
      </w:r>
    </w:p>
    <w:p w14:paraId="29E51D50" w14:textId="23CF9ECC" w:rsidR="004B70A3" w:rsidRDefault="00FF635C" w:rsidP="00CF7116">
      <w:pPr>
        <w:spacing w:before="240" w:line="276" w:lineRule="auto"/>
        <w:rPr>
          <w:i/>
          <w:iCs/>
          <w:color w:val="1F497D"/>
        </w:rPr>
      </w:pPr>
      <w:r w:rsidRPr="00AE294B">
        <w:rPr>
          <w:b/>
          <w:bCs/>
        </w:rPr>
        <w:t>GPP 1</w:t>
      </w:r>
      <w:r w:rsidR="00953810">
        <w:rPr>
          <w:b/>
          <w:bCs/>
        </w:rPr>
        <w:t>4</w:t>
      </w:r>
      <w:r w:rsidRPr="00AE294B">
        <w:rPr>
          <w:b/>
          <w:bCs/>
        </w:rPr>
        <w:t>.2</w:t>
      </w:r>
      <w:r w:rsidR="00953810">
        <w:rPr>
          <w:b/>
          <w:bCs/>
        </w:rPr>
        <w:t>:</w:t>
      </w:r>
      <w:r>
        <w:t xml:space="preserve"> Support patients with appropriate hand hygiene</w:t>
      </w:r>
      <w:r w:rsidR="00EB2749">
        <w:t>.</w:t>
      </w:r>
      <w:r w:rsidR="004B70A3">
        <w:t xml:space="preserve"> </w:t>
      </w:r>
      <w:r w:rsidR="00EB2749">
        <w:t>C</w:t>
      </w:r>
      <w:r w:rsidR="004B70A3">
        <w:t xml:space="preserve">onsider </w:t>
      </w:r>
      <w:r w:rsidR="00EB2749">
        <w:t>the</w:t>
      </w:r>
      <w:r w:rsidR="004B70A3">
        <w:t xml:space="preserve"> use of a suitable hand hygiene alternative (e.g. detergent hand wipes)</w:t>
      </w:r>
      <w:r>
        <w:t xml:space="preserve"> </w:t>
      </w:r>
      <w:r w:rsidR="004B70A3">
        <w:t xml:space="preserve">when it is </w:t>
      </w:r>
      <w:r w:rsidR="006C356B">
        <w:t>n</w:t>
      </w:r>
      <w:r w:rsidR="004B70A3">
        <w:t xml:space="preserve">ot feasible for the patients to use soap and water. </w:t>
      </w:r>
    </w:p>
    <w:p w14:paraId="4F484E5F" w14:textId="6A5C1C5D" w:rsidR="00FF635C" w:rsidRPr="004B70A3" w:rsidRDefault="00FF635C" w:rsidP="00CF7116">
      <w:pPr>
        <w:spacing w:before="240" w:line="276" w:lineRule="auto"/>
      </w:pPr>
      <w:r w:rsidRPr="004B70A3">
        <w:rPr>
          <w:b/>
          <w:bCs/>
        </w:rPr>
        <w:t>GPP 1</w:t>
      </w:r>
      <w:r w:rsidR="00953810">
        <w:rPr>
          <w:b/>
          <w:bCs/>
        </w:rPr>
        <w:t>4</w:t>
      </w:r>
      <w:r w:rsidRPr="004B70A3">
        <w:rPr>
          <w:b/>
          <w:bCs/>
        </w:rPr>
        <w:t>.3</w:t>
      </w:r>
      <w:r w:rsidR="00953810">
        <w:rPr>
          <w:b/>
          <w:bCs/>
        </w:rPr>
        <w:t xml:space="preserve">: </w:t>
      </w:r>
      <w:r w:rsidRPr="004B70A3">
        <w:t xml:space="preserve">During norovirus outbreaks, consider temporarily removing alcohol hand rub from the facility. </w:t>
      </w:r>
    </w:p>
    <w:p w14:paraId="23F37592" w14:textId="5F5B5005" w:rsidR="00FF635C" w:rsidRDefault="00FF635C" w:rsidP="00CF7116">
      <w:pPr>
        <w:spacing w:before="240" w:line="276" w:lineRule="auto"/>
      </w:pPr>
      <w:r w:rsidRPr="004B70A3">
        <w:rPr>
          <w:b/>
          <w:bCs/>
        </w:rPr>
        <w:t>GPP 1</w:t>
      </w:r>
      <w:r w:rsidR="00953810">
        <w:rPr>
          <w:b/>
          <w:bCs/>
        </w:rPr>
        <w:t>4</w:t>
      </w:r>
      <w:r w:rsidRPr="004B70A3">
        <w:rPr>
          <w:b/>
          <w:bCs/>
        </w:rPr>
        <w:t>.4</w:t>
      </w:r>
      <w:r w:rsidR="00953810">
        <w:rPr>
          <w:b/>
          <w:bCs/>
        </w:rPr>
        <w:t>:</w:t>
      </w:r>
      <w:r w:rsidRPr="004B70A3">
        <w:t xml:space="preserve"> Provide appropriate information to educate staff, patients and visitors that the use </w:t>
      </w:r>
      <w:r w:rsidR="004B70A3" w:rsidRPr="004B70A3">
        <w:t xml:space="preserve">of </w:t>
      </w:r>
      <w:r w:rsidRPr="004B70A3">
        <w:t>soap and water is superior to alcohol hand rubs in preventing norovirus transmission.</w:t>
      </w:r>
      <w:r>
        <w:t xml:space="preserve"> </w:t>
      </w:r>
    </w:p>
    <w:p w14:paraId="4DF21A76" w14:textId="2C81A005" w:rsidR="00FF635C" w:rsidRPr="00DC6740" w:rsidRDefault="00FF635C" w:rsidP="00CF7116">
      <w:pPr>
        <w:spacing w:before="240" w:line="276" w:lineRule="auto"/>
      </w:pPr>
      <w:r w:rsidRPr="00AE294B">
        <w:rPr>
          <w:b/>
          <w:bCs/>
        </w:rPr>
        <w:t>GPP 1</w:t>
      </w:r>
      <w:r w:rsidR="00953810">
        <w:rPr>
          <w:b/>
          <w:bCs/>
        </w:rPr>
        <w:t>4</w:t>
      </w:r>
      <w:r w:rsidRPr="00AE294B">
        <w:rPr>
          <w:b/>
          <w:bCs/>
        </w:rPr>
        <w:t>.5</w:t>
      </w:r>
      <w:r w:rsidR="00953810">
        <w:rPr>
          <w:b/>
          <w:bCs/>
        </w:rPr>
        <w:t>:</w:t>
      </w:r>
      <w:r>
        <w:t xml:space="preserve"> </w:t>
      </w:r>
      <w:r w:rsidR="004B70A3" w:rsidRPr="004B70A3">
        <w:t xml:space="preserve">Ensure that suitable facilities are provided to ensure </w:t>
      </w:r>
      <w:r w:rsidR="00EB2749">
        <w:t xml:space="preserve">that </w:t>
      </w:r>
      <w:r w:rsidR="004B70A3" w:rsidRPr="004B70A3">
        <w:t>appropriate hand hygiene is performed. Consider using hand wipes, portable water stations as required in environments where fixed sinks are not available e</w:t>
      </w:r>
      <w:r w:rsidR="004B70A3">
        <w:t>.</w:t>
      </w:r>
      <w:r w:rsidR="004B70A3" w:rsidRPr="004B70A3">
        <w:t>g</w:t>
      </w:r>
      <w:r w:rsidR="004B70A3">
        <w:t>.</w:t>
      </w:r>
      <w:r w:rsidR="004B70A3" w:rsidRPr="004B70A3">
        <w:t xml:space="preserve">, </w:t>
      </w:r>
      <w:r w:rsidR="004B70A3">
        <w:t xml:space="preserve">in </w:t>
      </w:r>
      <w:r w:rsidR="004B70A3" w:rsidRPr="004B70A3">
        <w:t>secure environments</w:t>
      </w:r>
      <w:r w:rsidR="004B70A3">
        <w:t xml:space="preserve">. </w:t>
      </w:r>
    </w:p>
    <w:p w14:paraId="6A5C1FEC" w14:textId="77777777" w:rsidR="004B70A3" w:rsidRDefault="004B70A3" w:rsidP="00CF7116">
      <w:pPr>
        <w:spacing w:before="240" w:line="276" w:lineRule="auto"/>
      </w:pPr>
    </w:p>
    <w:p w14:paraId="244C0CED" w14:textId="6214492D" w:rsidR="00E758C0" w:rsidRDefault="00E758C0" w:rsidP="00CF7116">
      <w:pPr>
        <w:pStyle w:val="Heading2"/>
        <w:spacing w:before="240" w:after="160" w:line="276" w:lineRule="auto"/>
      </w:pPr>
      <w:r>
        <w:t>8.15</w:t>
      </w:r>
      <w:r w:rsidRPr="00E758C0">
        <w:tab/>
        <w:t>What is the effectiveness of different types of personal protective equipment</w:t>
      </w:r>
      <w:r w:rsidR="00E2003E">
        <w:t xml:space="preserve"> (PPE)</w:t>
      </w:r>
      <w:r w:rsidRPr="00E758C0">
        <w:t xml:space="preserve"> in preventing norovirus transmission?</w:t>
      </w:r>
    </w:p>
    <w:p w14:paraId="0DC706AF" w14:textId="5C61BE0B" w:rsidR="00E758C0" w:rsidRDefault="00E758C0" w:rsidP="00CF7116">
      <w:pPr>
        <w:spacing w:before="240" w:line="276" w:lineRule="auto"/>
      </w:pPr>
      <w:r w:rsidRPr="00E758C0">
        <w:t xml:space="preserve">Current advice for the prevention of norovirus is to use transmission based precautions, which offer </w:t>
      </w:r>
      <w:r w:rsidR="00DD5F0A">
        <w:t xml:space="preserve">PPE </w:t>
      </w:r>
      <w:r w:rsidRPr="00E758C0">
        <w:t xml:space="preserve">advice based on the mode of transmission. As norovirus is transmitted through the contact route, contact precautions are recommended </w:t>
      </w:r>
      <w:r w:rsidR="00DD5F0A">
        <w:t>because they</w:t>
      </w:r>
      <w:r w:rsidRPr="00E758C0">
        <w:t xml:space="preserve"> prevent and control infections that spread via direct contact with the patient or indirectly from the patient’s immediate care environment (including care equipment). Plastic aprons and disposable gloves are </w:t>
      </w:r>
      <w:r w:rsidR="00DD5F0A">
        <w:t xml:space="preserve">usually </w:t>
      </w:r>
      <w:r w:rsidRPr="00E758C0">
        <w:t xml:space="preserve">recommended when </w:t>
      </w:r>
      <w:r w:rsidR="00DD5F0A">
        <w:t xml:space="preserve">staff are </w:t>
      </w:r>
      <w:r w:rsidRPr="00E758C0">
        <w:t>in direct contact with the patient</w:t>
      </w:r>
      <w:r w:rsidR="00DD5F0A">
        <w:t>s</w:t>
      </w:r>
      <w:r w:rsidRPr="00E758C0">
        <w:t xml:space="preserve"> </w:t>
      </w:r>
      <w:r w:rsidR="00DD5F0A">
        <w:t xml:space="preserve">affected by norovirus </w:t>
      </w:r>
      <w:r w:rsidRPr="00E758C0">
        <w:t>or the</w:t>
      </w:r>
      <w:r w:rsidR="00DD5F0A">
        <w:t>ir</w:t>
      </w:r>
      <w:r w:rsidRPr="00E758C0">
        <w:t xml:space="preserve"> immediate environment. </w:t>
      </w:r>
      <w:r w:rsidR="00DD5F0A">
        <w:t>Other PPE</w:t>
      </w:r>
      <w:r w:rsidRPr="00E758C0">
        <w:t xml:space="preserve"> </w:t>
      </w:r>
      <w:r w:rsidR="00DD5F0A">
        <w:t xml:space="preserve">may be required following </w:t>
      </w:r>
      <w:r w:rsidRPr="00E758C0">
        <w:t>a risk assessment</w:t>
      </w:r>
      <w:r w:rsidR="00DD5F0A">
        <w:t>, for example</w:t>
      </w:r>
      <w:r w:rsidRPr="00E758C0">
        <w:t xml:space="preserve"> facial protection </w:t>
      </w:r>
      <w:r w:rsidR="00DD5F0A">
        <w:t xml:space="preserve">may be recommended </w:t>
      </w:r>
      <w:r w:rsidRPr="00E758C0">
        <w:t xml:space="preserve">when a risk of splashing and spraying of body fluids is identified </w:t>
      </w:r>
      <w:r w:rsidR="00DD5F0A">
        <w:t>and</w:t>
      </w:r>
      <w:r w:rsidRPr="00E758C0">
        <w:t xml:space="preserve"> gown</w:t>
      </w:r>
      <w:r w:rsidR="00DD5F0A">
        <w:t>s</w:t>
      </w:r>
      <w:r w:rsidRPr="00E758C0">
        <w:t xml:space="preserve"> or long sleeved apron</w:t>
      </w:r>
      <w:r w:rsidR="00DD5F0A">
        <w:t>s</w:t>
      </w:r>
      <w:r w:rsidRPr="00E758C0">
        <w:t xml:space="preserve"> </w:t>
      </w:r>
      <w:r w:rsidR="00DD5F0A">
        <w:t>may be recommended</w:t>
      </w:r>
      <w:r w:rsidRPr="00E758C0">
        <w:t xml:space="preserve"> for highly contaminated environments. The effectiveness of these different contact precautions, used in combination for varying exposure risks, is important to understand to ensure healthcare workers choose the correct PPE to prevent onward norovirus transmission</w:t>
      </w:r>
      <w:r w:rsidR="00DD5F0A">
        <w:t>. On the other hand, there is a concern that PPE may be inappropriately used or overused which would result in waste of valuable resources. Previous guidelines</w:t>
      </w:r>
      <w:r w:rsidR="00AC0F9C" w:rsidRPr="00AC0F9C">
        <w:rPr>
          <w:vertAlign w:val="superscript"/>
        </w:rPr>
        <w:t>1</w:t>
      </w:r>
      <w:r w:rsidR="00DD5F0A">
        <w:t xml:space="preserve"> recommended the use of gloves and aprons for contact with infected patients and stated that masks should only be considered when there is a risk of droplets and aerosols. However, these recommendations were based on recommendations from another guid</w:t>
      </w:r>
      <w:r w:rsidR="00EB2749">
        <w:t>eline</w:t>
      </w:r>
      <w:r w:rsidR="00DD5F0A">
        <w:t xml:space="preserve"> and no literature was reviewed to assess the effectiveness of different PPE. </w:t>
      </w:r>
    </w:p>
    <w:p w14:paraId="3719A34F" w14:textId="77777777" w:rsidR="00FF635C" w:rsidRPr="00FD0C1D" w:rsidRDefault="00FF635C" w:rsidP="00CF7116">
      <w:pPr>
        <w:pStyle w:val="Heading3"/>
        <w:spacing w:line="276" w:lineRule="auto"/>
      </w:pPr>
      <w:r w:rsidRPr="00FD0C1D">
        <w:t>Gloves</w:t>
      </w:r>
    </w:p>
    <w:p w14:paraId="6D9ADD6C" w14:textId="238BD950" w:rsidR="00FF635C" w:rsidRDefault="00FF635C" w:rsidP="00CF7116">
      <w:pPr>
        <w:spacing w:before="240" w:line="276" w:lineRule="auto"/>
      </w:pPr>
      <w:r w:rsidRPr="0095272F">
        <w:t xml:space="preserve">There was </w:t>
      </w:r>
      <w:r w:rsidRPr="00DD5F0A">
        <w:t xml:space="preserve">weak </w:t>
      </w:r>
      <w:r w:rsidRPr="00B15BBD">
        <w:t>evidence</w:t>
      </w:r>
      <w:r>
        <w:t xml:space="preserve"> from 18 studies,</w:t>
      </w:r>
      <w:r w:rsidR="00F21998" w:rsidRPr="00F21998">
        <w:rPr>
          <w:vertAlign w:val="superscript"/>
        </w:rPr>
        <w:t>19,20,22,25,26,27,29,30,32,34,37,38,55,57,108,122,123,146</w:t>
      </w:r>
      <w:r w:rsidRPr="009A2010">
        <w:t xml:space="preserve"> </w:t>
      </w:r>
      <w:r>
        <w:t xml:space="preserve">describing a total of 24 outbreaks which reported the use of gloves during outbreaks in the healthcare setting. These outbreaks </w:t>
      </w:r>
      <w:r w:rsidR="00E34B2D">
        <w:t>affected</w:t>
      </w:r>
      <w:r>
        <w:t xml:space="preserve"> between ten and 355 individuals (median 31) lasting from three days to over </w:t>
      </w:r>
      <w:r w:rsidR="001128A6">
        <w:t>two</w:t>
      </w:r>
      <w:r>
        <w:t xml:space="preserve"> months (median 17 days, based on 17 studies</w:t>
      </w:r>
      <w:r w:rsidR="00F21998" w:rsidRPr="00F21998">
        <w:rPr>
          <w:vertAlign w:val="superscript"/>
        </w:rPr>
        <w:t>19,20,22,25</w:t>
      </w:r>
      <w:r w:rsidR="00F21998">
        <w:rPr>
          <w:vertAlign w:val="superscript"/>
        </w:rPr>
        <w:t>-</w:t>
      </w:r>
      <w:r w:rsidR="00F21998" w:rsidRPr="00F21998">
        <w:rPr>
          <w:vertAlign w:val="superscript"/>
        </w:rPr>
        <w:t>27,29,30,32,34,37,38,55,57,108,122,123</w:t>
      </w:r>
      <w:r>
        <w:t>). The studies introduced gloves exclusively for staff</w:t>
      </w:r>
      <w:r w:rsidR="00F21998" w:rsidRPr="00F21998">
        <w:rPr>
          <w:vertAlign w:val="superscript"/>
        </w:rPr>
        <w:t>19,20,22,25,26,27,30,32,34,37,38,55,57,108,123,146</w:t>
      </w:r>
      <w:r>
        <w:t xml:space="preserve"> or for staff and visitors.</w:t>
      </w:r>
      <w:r w:rsidR="00F21998">
        <w:rPr>
          <w:vertAlign w:val="superscript"/>
        </w:rPr>
        <w:t>29,122</w:t>
      </w:r>
      <w:r>
        <w:t xml:space="preserve"> </w:t>
      </w:r>
      <w:r w:rsidR="00E34B2D">
        <w:t>G</w:t>
      </w:r>
      <w:r>
        <w:t>loves were recommended to be used upon contact with symptomatic patients/</w:t>
      </w:r>
      <w:r w:rsidR="00F21998">
        <w:t xml:space="preserve"> </w:t>
      </w:r>
      <w:r>
        <w:t>residents</w:t>
      </w:r>
      <w:r w:rsidR="00F21998" w:rsidRPr="00F21998">
        <w:rPr>
          <w:vertAlign w:val="superscript"/>
        </w:rPr>
        <w:t>19,20,22,25,30,32,37,38,55,57</w:t>
      </w:r>
      <w:r>
        <w:t xml:space="preserve"> for cleaning</w:t>
      </w:r>
      <w:r w:rsidR="00F21998">
        <w:rPr>
          <w:vertAlign w:val="superscript"/>
        </w:rPr>
        <w:t>20,108</w:t>
      </w:r>
      <w:r>
        <w:t xml:space="preserve"> or universally;</w:t>
      </w:r>
      <w:r w:rsidR="00F21998" w:rsidRPr="00F21998">
        <w:rPr>
          <w:vertAlign w:val="superscript"/>
        </w:rPr>
        <w:t>26,29,34,122,123,146</w:t>
      </w:r>
      <w:r>
        <w:t xml:space="preserve"> </w:t>
      </w:r>
      <w:r w:rsidR="00E34B2D">
        <w:t xml:space="preserve">and </w:t>
      </w:r>
      <w:r>
        <w:t>one study did not indicate when the gloves were to be used.</w:t>
      </w:r>
      <w:r w:rsidR="00F21998">
        <w:rPr>
          <w:vertAlign w:val="superscript"/>
        </w:rPr>
        <w:t>27</w:t>
      </w:r>
      <w:r>
        <w:t xml:space="preserve"> Of these studies 14 (78%) reported that the introduction </w:t>
      </w:r>
      <w:r w:rsidR="00E34B2D">
        <w:t xml:space="preserve">of </w:t>
      </w:r>
      <w:r>
        <w:t>gloves as a part of the control measures was successful in controlling the outbreak with one specifically recommending gloves and other PPE</w:t>
      </w:r>
      <w:r w:rsidR="00F21998">
        <w:t>.</w:t>
      </w:r>
      <w:r w:rsidR="00F21998">
        <w:rPr>
          <w:vertAlign w:val="superscript"/>
        </w:rPr>
        <w:t>27</w:t>
      </w:r>
      <w:r>
        <w:t xml:space="preserve"> Of four studies which did not, one reported that further control measures were necessary,</w:t>
      </w:r>
      <w:r w:rsidR="00F21998">
        <w:rPr>
          <w:vertAlign w:val="superscript"/>
        </w:rPr>
        <w:t>25</w:t>
      </w:r>
      <w:r>
        <w:t xml:space="preserve"> one reported that the cases declined in the original ward but the outbreak spread to another area,</w:t>
      </w:r>
      <w:r w:rsidR="00F21998">
        <w:rPr>
          <w:vertAlign w:val="superscript"/>
        </w:rPr>
        <w:t>122</w:t>
      </w:r>
      <w:r>
        <w:t xml:space="preserve"> one reported that the interventions did not seem to have an effect in an outbreak ward but might have been successful in preventing the spread to other areas,</w:t>
      </w:r>
      <w:r w:rsidR="00F21998">
        <w:rPr>
          <w:vertAlign w:val="superscript"/>
        </w:rPr>
        <w:t>30</w:t>
      </w:r>
      <w:r>
        <w:t xml:space="preserve"> and one study stated that the introduction control measures did not completely stop the transmission but that the cases occurred at lower rate.</w:t>
      </w:r>
      <w:r w:rsidR="00F21998">
        <w:rPr>
          <w:vertAlign w:val="superscript"/>
        </w:rPr>
        <w:t>3</w:t>
      </w:r>
      <w:r w:rsidRPr="00FD0C1D">
        <w:rPr>
          <w:vertAlign w:val="superscript"/>
        </w:rPr>
        <w:t>8</w:t>
      </w:r>
      <w:r w:rsidR="000E41A6">
        <w:t xml:space="preserve"> </w:t>
      </w:r>
      <w:r>
        <w:t xml:space="preserve">Following the introduction of gloves and other control measures, the studies reported that </w:t>
      </w:r>
      <w:r w:rsidR="00EB2749">
        <w:t xml:space="preserve">a </w:t>
      </w:r>
      <w:r>
        <w:t>further two to 51 individuals were affected (median 10, based on eleven studies</w:t>
      </w:r>
      <w:r w:rsidR="00F21998" w:rsidRPr="00F21998">
        <w:rPr>
          <w:vertAlign w:val="superscript"/>
        </w:rPr>
        <w:t>19,20,22,25,29,30,32,34,37,55,57</w:t>
      </w:r>
      <w:r>
        <w:t>), lasting between two and 19 days (median</w:t>
      </w:r>
      <w:r w:rsidR="001128A6">
        <w:t xml:space="preserve"> ten </w:t>
      </w:r>
      <w:r>
        <w:t>days, based on eleven studies</w:t>
      </w:r>
      <w:r w:rsidR="00F21998" w:rsidRPr="00F21998">
        <w:rPr>
          <w:vertAlign w:val="superscript"/>
        </w:rPr>
        <w:t>19,20,22,25,29,30,32,34,38,55,57</w:t>
      </w:r>
      <w:r>
        <w:t xml:space="preserve">). </w:t>
      </w:r>
    </w:p>
    <w:p w14:paraId="0C396310" w14:textId="407885B7" w:rsidR="00FF635C" w:rsidRPr="006C356B"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effect of the use of gloves during outbreaks in non-healthcare settings. However</w:t>
      </w:r>
      <w:r w:rsidR="00E34B2D">
        <w:rPr>
          <w:rFonts w:cstheme="minorHAnsi"/>
        </w:rPr>
        <w:t>,</w:t>
      </w:r>
      <w:r>
        <w:rPr>
          <w:rFonts w:cstheme="minorHAnsi"/>
        </w:rPr>
        <w:t xml:space="preserve"> one excluded simulation study</w:t>
      </w:r>
      <w:r w:rsidR="00F21998">
        <w:rPr>
          <w:rFonts w:cstheme="minorHAnsi"/>
          <w:vertAlign w:val="superscript"/>
        </w:rPr>
        <w:t>147</w:t>
      </w:r>
      <w:r>
        <w:rPr>
          <w:rFonts w:cstheme="minorHAnsi"/>
        </w:rPr>
        <w:t xml:space="preserve"> explored the</w:t>
      </w:r>
      <w:r w:rsidRPr="00FD0C1D">
        <w:rPr>
          <w:rFonts w:cstheme="minorHAnsi"/>
        </w:rPr>
        <w:t xml:space="preserve"> </w:t>
      </w:r>
      <w:r w:rsidRPr="00FD0C1D">
        <w:rPr>
          <w:rFonts w:cstheme="minorHAnsi"/>
        </w:rPr>
        <w:lastRenderedPageBreak/>
        <w:t xml:space="preserve">routes </w:t>
      </w:r>
      <w:r>
        <w:rPr>
          <w:rFonts w:cstheme="minorHAnsi"/>
        </w:rPr>
        <w:t>by which</w:t>
      </w:r>
      <w:r w:rsidRPr="00FD0C1D">
        <w:rPr>
          <w:rFonts w:cstheme="minorHAnsi"/>
        </w:rPr>
        <w:t xml:space="preserve"> </w:t>
      </w:r>
      <w:r>
        <w:rPr>
          <w:rFonts w:cstheme="minorHAnsi"/>
        </w:rPr>
        <w:t>noro</w:t>
      </w:r>
      <w:r w:rsidRPr="00FD0C1D">
        <w:rPr>
          <w:rFonts w:cstheme="minorHAnsi"/>
        </w:rPr>
        <w:t xml:space="preserve">virus </w:t>
      </w:r>
      <w:r>
        <w:rPr>
          <w:rFonts w:cstheme="minorHAnsi"/>
        </w:rPr>
        <w:t xml:space="preserve">spreads in food industry. The study </w:t>
      </w:r>
      <w:r w:rsidRPr="00FD0C1D">
        <w:rPr>
          <w:rFonts w:cstheme="minorHAnsi"/>
        </w:rPr>
        <w:t>simulat</w:t>
      </w:r>
      <w:r>
        <w:rPr>
          <w:rFonts w:cstheme="minorHAnsi"/>
        </w:rPr>
        <w:t>ed</w:t>
      </w:r>
      <w:r w:rsidRPr="00FD0C1D">
        <w:rPr>
          <w:rFonts w:cstheme="minorHAnsi"/>
        </w:rPr>
        <w:t xml:space="preserve"> a process of making a cucumber sandwich</w:t>
      </w:r>
      <w:r>
        <w:rPr>
          <w:rFonts w:cstheme="minorHAnsi"/>
        </w:rPr>
        <w:t xml:space="preserve"> by a person whose hands </w:t>
      </w:r>
      <w:r w:rsidR="00E34B2D">
        <w:rPr>
          <w:rFonts w:cstheme="minorHAnsi"/>
        </w:rPr>
        <w:t>we</w:t>
      </w:r>
      <w:r>
        <w:rPr>
          <w:rFonts w:cstheme="minorHAnsi"/>
        </w:rPr>
        <w:t>re contaminated with norovirus</w:t>
      </w:r>
      <w:r w:rsidRPr="00FD0C1D">
        <w:rPr>
          <w:rFonts w:cstheme="minorHAnsi"/>
        </w:rPr>
        <w:t>. The hands of the volunteers</w:t>
      </w:r>
      <w:r>
        <w:rPr>
          <w:rFonts w:cstheme="minorHAnsi"/>
        </w:rPr>
        <w:t>,</w:t>
      </w:r>
      <w:r w:rsidRPr="00FD0C1D">
        <w:rPr>
          <w:rFonts w:cstheme="minorHAnsi"/>
        </w:rPr>
        <w:t xml:space="preserve"> protected by gloves</w:t>
      </w:r>
      <w:r>
        <w:rPr>
          <w:rFonts w:cstheme="minorHAnsi"/>
        </w:rPr>
        <w:t>,</w:t>
      </w:r>
      <w:r w:rsidRPr="00FD0C1D">
        <w:rPr>
          <w:rFonts w:cstheme="minorHAnsi"/>
        </w:rPr>
        <w:t xml:space="preserve"> were contaminated with approx. 3.5x log</w:t>
      </w:r>
      <w:r w:rsidRPr="00E2003E">
        <w:rPr>
          <w:rFonts w:cstheme="minorHAnsi"/>
          <w:vertAlign w:val="subscript"/>
        </w:rPr>
        <w:t>10</w:t>
      </w:r>
      <w:r w:rsidRPr="00FD0C1D">
        <w:rPr>
          <w:rFonts w:cstheme="minorHAnsi"/>
        </w:rPr>
        <w:t xml:space="preserve"> </w:t>
      </w:r>
      <w:r w:rsidR="00E2003E">
        <w:t>RT-QPCR-detectable virus unit</w:t>
      </w:r>
      <w:r w:rsidR="00E2003E" w:rsidRPr="00FD0C1D">
        <w:rPr>
          <w:rFonts w:cstheme="minorHAnsi"/>
        </w:rPr>
        <w:t xml:space="preserve"> </w:t>
      </w:r>
      <w:r w:rsidR="00E2003E">
        <w:rPr>
          <w:rFonts w:cstheme="minorHAnsi"/>
        </w:rPr>
        <w:t>(</w:t>
      </w:r>
      <w:proofErr w:type="spellStart"/>
      <w:r w:rsidRPr="00FD0C1D">
        <w:rPr>
          <w:rFonts w:cstheme="minorHAnsi"/>
        </w:rPr>
        <w:t>pcr</w:t>
      </w:r>
      <w:proofErr w:type="spellEnd"/>
      <w:r w:rsidRPr="00FD0C1D">
        <w:rPr>
          <w:rFonts w:cstheme="minorHAnsi"/>
        </w:rPr>
        <w:t>-u</w:t>
      </w:r>
      <w:r w:rsidR="00E2003E">
        <w:rPr>
          <w:rFonts w:cstheme="minorHAnsi"/>
        </w:rPr>
        <w:t xml:space="preserve">, </w:t>
      </w:r>
      <w:r w:rsidRPr="00FD0C1D">
        <w:rPr>
          <w:rFonts w:cstheme="minorHAnsi"/>
        </w:rPr>
        <w:t>100</w:t>
      </w:r>
      <w:r w:rsidR="00E2003E">
        <w:rPr>
          <w:rFonts w:cstheme="minorHAnsi"/>
        </w:rPr>
        <w:t>µ</w:t>
      </w:r>
      <w:r w:rsidRPr="00FD0C1D">
        <w:rPr>
          <w:rFonts w:cstheme="minorHAnsi"/>
        </w:rPr>
        <w:t xml:space="preserve">l) </w:t>
      </w:r>
      <w:r>
        <w:rPr>
          <w:rFonts w:cstheme="minorHAnsi"/>
        </w:rPr>
        <w:t>of human norovirus (HNV)</w:t>
      </w:r>
      <w:r w:rsidRPr="00FD0C1D">
        <w:rPr>
          <w:rFonts w:cstheme="minorHAnsi"/>
        </w:rPr>
        <w:t>.</w:t>
      </w:r>
      <w:r>
        <w:rPr>
          <w:rFonts w:cstheme="minorHAnsi"/>
        </w:rPr>
        <w:t xml:space="preserve"> </w:t>
      </w:r>
      <w:r w:rsidRPr="00FD0C1D">
        <w:rPr>
          <w:rFonts w:cstheme="minorHAnsi"/>
        </w:rPr>
        <w:t xml:space="preserve">The volunteers were </w:t>
      </w:r>
      <w:r>
        <w:rPr>
          <w:rFonts w:cstheme="minorHAnsi"/>
        </w:rPr>
        <w:t xml:space="preserve">then </w:t>
      </w:r>
      <w:r w:rsidRPr="00FD0C1D">
        <w:rPr>
          <w:rFonts w:cstheme="minorHAnsi"/>
        </w:rPr>
        <w:t>asked to don a clean pair of gloves</w:t>
      </w:r>
      <w:r>
        <w:rPr>
          <w:rFonts w:cstheme="minorHAnsi"/>
        </w:rPr>
        <w:t xml:space="preserve">, </w:t>
      </w:r>
      <w:r w:rsidRPr="00FD0C1D">
        <w:rPr>
          <w:rFonts w:cstheme="minorHAnsi"/>
        </w:rPr>
        <w:t>either immediately after inoculation (wet</w:t>
      </w:r>
      <w:r>
        <w:rPr>
          <w:rFonts w:cstheme="minorHAnsi"/>
        </w:rPr>
        <w:t xml:space="preserve"> conditions</w:t>
      </w:r>
      <w:r w:rsidRPr="00FD0C1D">
        <w:rPr>
          <w:rFonts w:cstheme="minorHAnsi"/>
        </w:rPr>
        <w:t>) or after 60</w:t>
      </w:r>
      <w:r>
        <w:rPr>
          <w:rFonts w:cstheme="minorHAnsi"/>
        </w:rPr>
        <w:t xml:space="preserve"> </w:t>
      </w:r>
      <w:r w:rsidRPr="00FD0C1D">
        <w:rPr>
          <w:rFonts w:cstheme="minorHAnsi"/>
        </w:rPr>
        <w:t>min</w:t>
      </w:r>
      <w:r>
        <w:rPr>
          <w:rFonts w:cstheme="minorHAnsi"/>
        </w:rPr>
        <w:t>utes</w:t>
      </w:r>
      <w:r w:rsidRPr="00FD0C1D">
        <w:rPr>
          <w:rFonts w:cstheme="minorHAnsi"/>
        </w:rPr>
        <w:t xml:space="preserve"> (dry</w:t>
      </w:r>
      <w:r>
        <w:rPr>
          <w:rFonts w:cstheme="minorHAnsi"/>
        </w:rPr>
        <w:t xml:space="preserve"> conditions</w:t>
      </w:r>
      <w:r w:rsidRPr="00FD0C1D">
        <w:rPr>
          <w:rFonts w:cstheme="minorHAnsi"/>
        </w:rPr>
        <w:t xml:space="preserve">). </w:t>
      </w:r>
      <w:r w:rsidR="00E34B2D">
        <w:rPr>
          <w:rFonts w:cstheme="minorHAnsi"/>
        </w:rPr>
        <w:t>A</w:t>
      </w:r>
      <w:r w:rsidRPr="00FD0C1D">
        <w:rPr>
          <w:rFonts w:cstheme="minorHAnsi"/>
        </w:rPr>
        <w:t xml:space="preserve"> swab was taken from the outside of the </w:t>
      </w:r>
      <w:r>
        <w:rPr>
          <w:rFonts w:cstheme="minorHAnsi"/>
        </w:rPr>
        <w:t xml:space="preserve">new </w:t>
      </w:r>
      <w:r w:rsidRPr="00FD0C1D">
        <w:rPr>
          <w:rFonts w:cstheme="minorHAnsi"/>
        </w:rPr>
        <w:t xml:space="preserve">glove to determine whether transfer of the virus occurred. </w:t>
      </w:r>
      <w:r>
        <w:rPr>
          <w:rFonts w:cstheme="minorHAnsi"/>
        </w:rPr>
        <w:t>The authors reported that transfer to new gloves occurred almost every time the experiment was repeated (</w:t>
      </w:r>
      <w:r w:rsidRPr="00FD0C1D">
        <w:rPr>
          <w:rFonts w:cstheme="minorHAnsi"/>
        </w:rPr>
        <w:t>10</w:t>
      </w:r>
      <w:r>
        <w:rPr>
          <w:rFonts w:cstheme="minorHAnsi"/>
        </w:rPr>
        <w:t>/12</w:t>
      </w:r>
      <w:r w:rsidRPr="00FD0C1D">
        <w:rPr>
          <w:rFonts w:cstheme="minorHAnsi"/>
        </w:rPr>
        <w:t xml:space="preserve"> (83%)</w:t>
      </w:r>
      <w:r>
        <w:rPr>
          <w:rFonts w:cstheme="minorHAnsi"/>
        </w:rPr>
        <w:t xml:space="preserve"> for dry conditions and </w:t>
      </w:r>
      <w:r w:rsidRPr="00FD0C1D">
        <w:rPr>
          <w:rFonts w:cstheme="minorHAnsi"/>
        </w:rPr>
        <w:t>11</w:t>
      </w:r>
      <w:r>
        <w:rPr>
          <w:rFonts w:cstheme="minorHAnsi"/>
        </w:rPr>
        <w:t>/12</w:t>
      </w:r>
      <w:r w:rsidRPr="00FD0C1D">
        <w:rPr>
          <w:rFonts w:cstheme="minorHAnsi"/>
        </w:rPr>
        <w:t xml:space="preserve"> (92%)</w:t>
      </w:r>
      <w:r>
        <w:rPr>
          <w:rFonts w:cstheme="minorHAnsi"/>
        </w:rPr>
        <w:t xml:space="preserve"> for wet conditions) and that </w:t>
      </w:r>
      <w:r w:rsidR="00EB2749">
        <w:rPr>
          <w:rFonts w:cstheme="minorHAnsi"/>
        </w:rPr>
        <w:t xml:space="preserve">a </w:t>
      </w:r>
      <w:r>
        <w:rPr>
          <w:rFonts w:cstheme="minorHAnsi"/>
        </w:rPr>
        <w:t xml:space="preserve">sufficient amount was transferred to cause a possible infection. </w:t>
      </w:r>
      <w:r w:rsidRPr="00FD0C1D">
        <w:rPr>
          <w:rFonts w:cstheme="minorHAnsi"/>
        </w:rPr>
        <w:t>Further experiments showed that the virus was subsequently transferred from the</w:t>
      </w:r>
      <w:r>
        <w:rPr>
          <w:rFonts w:cstheme="minorHAnsi"/>
        </w:rPr>
        <w:t>se</w:t>
      </w:r>
      <w:r w:rsidRPr="00FD0C1D">
        <w:rPr>
          <w:rFonts w:cstheme="minorHAnsi"/>
        </w:rPr>
        <w:t xml:space="preserve"> gloves to a knife, bread and cucumber slices</w:t>
      </w:r>
      <w:r>
        <w:rPr>
          <w:rFonts w:cstheme="minorHAnsi"/>
        </w:rPr>
        <w:t xml:space="preserve"> used for sandwich making</w:t>
      </w:r>
      <w:r w:rsidRPr="00FD0C1D">
        <w:rPr>
          <w:rFonts w:cstheme="minorHAnsi"/>
        </w:rPr>
        <w:t xml:space="preserve">. The same experiment was repeated with </w:t>
      </w:r>
      <w:r w:rsidR="00E2003E">
        <w:rPr>
          <w:rFonts w:cstheme="minorHAnsi"/>
        </w:rPr>
        <w:t>MNV</w:t>
      </w:r>
      <w:r w:rsidRPr="00FD0C1D">
        <w:rPr>
          <w:rFonts w:cstheme="minorHAnsi"/>
        </w:rPr>
        <w:t xml:space="preserve"> with hands not being protected by gloves. The results were similar, </w:t>
      </w:r>
      <w:r>
        <w:rPr>
          <w:rFonts w:cstheme="minorHAnsi"/>
        </w:rPr>
        <w:t xml:space="preserve">with MNV being transferred from contaminated hands to gloves. </w:t>
      </w:r>
      <w:r w:rsidRPr="00FD0C1D">
        <w:rPr>
          <w:rFonts w:cstheme="minorHAnsi"/>
        </w:rPr>
        <w:t xml:space="preserve">These findings could be extrapolated to other settings as the experiment implied that when hands are not decontaminated before the gloves are </w:t>
      </w:r>
      <w:r>
        <w:rPr>
          <w:rFonts w:cstheme="minorHAnsi"/>
        </w:rPr>
        <w:t>donned</w:t>
      </w:r>
      <w:r w:rsidRPr="00FD0C1D">
        <w:rPr>
          <w:rFonts w:cstheme="minorHAnsi"/>
        </w:rPr>
        <w:t>, the gloves can subsequently become contaminated with the virus and can be a source of contamination for other items and potentially individuals.</w:t>
      </w:r>
    </w:p>
    <w:p w14:paraId="109A25CC" w14:textId="7BAB0DDF"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experience of using gloves or being cared for by a person wearing gloves during outbreaks in any settings.</w:t>
      </w:r>
    </w:p>
    <w:p w14:paraId="56F8AF98" w14:textId="77777777" w:rsidR="00FF635C" w:rsidRPr="00FD0C1D" w:rsidRDefault="00FF635C" w:rsidP="00CF7116">
      <w:pPr>
        <w:pStyle w:val="Heading3"/>
        <w:spacing w:line="276" w:lineRule="auto"/>
      </w:pPr>
      <w:r w:rsidRPr="00FD0C1D">
        <w:t>G</w:t>
      </w:r>
      <w:r>
        <w:t>owns</w:t>
      </w:r>
    </w:p>
    <w:p w14:paraId="1D75473E" w14:textId="1E8238E3" w:rsidR="00FF635C" w:rsidRDefault="00FF635C" w:rsidP="00CF7116">
      <w:pPr>
        <w:spacing w:before="240" w:line="276" w:lineRule="auto"/>
      </w:pPr>
      <w:r w:rsidRPr="0095272F">
        <w:t xml:space="preserve">There was </w:t>
      </w:r>
      <w:r w:rsidR="00DD5F0A" w:rsidRPr="00DD5F0A">
        <w:t xml:space="preserve">weak </w:t>
      </w:r>
      <w:r w:rsidR="00DD5F0A" w:rsidRPr="00B15BBD">
        <w:t>evidence</w:t>
      </w:r>
      <w:r>
        <w:t xml:space="preserve"> from 15 studies,</w:t>
      </w:r>
      <w:r w:rsidR="00AC7B89" w:rsidRPr="00AC7B89">
        <w:rPr>
          <w:vertAlign w:val="superscript"/>
        </w:rPr>
        <w:t>20,25,26,30,32,34,37,38,55,57,108,122,123,125,146</w:t>
      </w:r>
      <w:r w:rsidRPr="009A2010">
        <w:t xml:space="preserve"> </w:t>
      </w:r>
      <w:r>
        <w:t xml:space="preserve">describing a total of 20 outbreaks which reported the use of gowns during </w:t>
      </w:r>
      <w:r w:rsidR="00AC7B89">
        <w:t xml:space="preserve">norovirus </w:t>
      </w:r>
      <w:r>
        <w:t>outbreaks in healthcare setting</w:t>
      </w:r>
      <w:r w:rsidR="00EB2749">
        <w:t>s</w:t>
      </w:r>
      <w:r>
        <w:t>. These outbreaks affect</w:t>
      </w:r>
      <w:r w:rsidR="00E34B2D">
        <w:t>ed</w:t>
      </w:r>
      <w:r>
        <w:t xml:space="preserve"> between ten and 355 individuals (median 31) </w:t>
      </w:r>
      <w:r w:rsidR="00E34B2D">
        <w:t xml:space="preserve">and </w:t>
      </w:r>
      <w:r>
        <w:t>last</w:t>
      </w:r>
      <w:r w:rsidR="00E34B2D">
        <w:t>ed</w:t>
      </w:r>
      <w:r>
        <w:t xml:space="preserve"> from three days to over </w:t>
      </w:r>
      <w:r w:rsidR="00E34B2D">
        <w:t>two</w:t>
      </w:r>
      <w:r>
        <w:t xml:space="preserve"> months (median 18 days, based on 14 studies</w:t>
      </w:r>
      <w:r w:rsidR="00AC7B89" w:rsidRPr="00AC7B89">
        <w:rPr>
          <w:vertAlign w:val="superscript"/>
        </w:rPr>
        <w:t>20,25,26,30,32,34,37,38,55,57,108,122,123,125</w:t>
      </w:r>
      <w:r>
        <w:t>). These studies introduced gowns exclusively for staff</w:t>
      </w:r>
      <w:r w:rsidR="00AC7B89" w:rsidRPr="00AC7B89">
        <w:rPr>
          <w:vertAlign w:val="superscript"/>
        </w:rPr>
        <w:t>20,25,26,30,32,34,37,38,55,57,108,123</w:t>
      </w:r>
      <w:r>
        <w:rPr>
          <w:vertAlign w:val="superscript"/>
        </w:rPr>
        <w:t xml:space="preserve"> </w:t>
      </w:r>
      <w:r>
        <w:t>or for staff and visitors.</w:t>
      </w:r>
      <w:r w:rsidR="00AC7B89">
        <w:rPr>
          <w:vertAlign w:val="superscript"/>
        </w:rPr>
        <w:t>122,125</w:t>
      </w:r>
      <w:r>
        <w:t xml:space="preserve"> The gowns were recommended to be used upon contact with symptomatic patients/residents,</w:t>
      </w:r>
      <w:r w:rsidR="00AC7B89" w:rsidRPr="00AC7B89">
        <w:rPr>
          <w:vertAlign w:val="superscript"/>
        </w:rPr>
        <w:t>20,25,30,32,34,37,38,55,57,125</w:t>
      </w:r>
      <w:r>
        <w:t xml:space="preserve"> for cleaning</w:t>
      </w:r>
      <w:r w:rsidR="00AC7B89">
        <w:rPr>
          <w:vertAlign w:val="superscript"/>
        </w:rPr>
        <w:t>20,108</w:t>
      </w:r>
      <w:r>
        <w:t xml:space="preserve"> or universally;</w:t>
      </w:r>
      <w:r w:rsidR="00AC7B89" w:rsidRPr="00AC7B89">
        <w:rPr>
          <w:vertAlign w:val="superscript"/>
        </w:rPr>
        <w:t>26,122,123</w:t>
      </w:r>
      <w:r w:rsidR="00AC7B89">
        <w:rPr>
          <w:vertAlign w:val="superscript"/>
        </w:rPr>
        <w:t>,146</w:t>
      </w:r>
      <w:r>
        <w:t xml:space="preserve"> </w:t>
      </w:r>
      <w:r w:rsidR="00E34B2D">
        <w:t xml:space="preserve">and </w:t>
      </w:r>
      <w:r>
        <w:t>one study did not indicate when the gowns were to be used.</w:t>
      </w:r>
      <w:r w:rsidR="00AC7B89">
        <w:rPr>
          <w:vertAlign w:val="superscript"/>
        </w:rPr>
        <w:t>108</w:t>
      </w:r>
      <w:r>
        <w:t xml:space="preserve"> Of these studies</w:t>
      </w:r>
      <w:r w:rsidR="001128A6">
        <w:t xml:space="preserve"> eleven </w:t>
      </w:r>
      <w:r>
        <w:t xml:space="preserve">(73%) reported that the introduction </w:t>
      </w:r>
      <w:r w:rsidR="00E34B2D">
        <w:t xml:space="preserve">of </w:t>
      </w:r>
      <w:r>
        <w:t xml:space="preserve">gowns as a part of the control measures was successful in controlling the outbreak. Of </w:t>
      </w:r>
      <w:r w:rsidRPr="008105BD">
        <w:t>four studies</w:t>
      </w:r>
      <w:r>
        <w:t xml:space="preserve"> which did not, one reported that further control measures were necessary,</w:t>
      </w:r>
      <w:r w:rsidR="00AC7B89">
        <w:rPr>
          <w:vertAlign w:val="superscript"/>
        </w:rPr>
        <w:t>25</w:t>
      </w:r>
      <w:r>
        <w:t xml:space="preserve"> one reported that the cases declined in the original ward but the outbreak spread to another area,</w:t>
      </w:r>
      <w:r w:rsidR="00AC7B89">
        <w:rPr>
          <w:vertAlign w:val="superscript"/>
        </w:rPr>
        <w:t>122</w:t>
      </w:r>
      <w:r>
        <w:t xml:space="preserve"> one reported that the interventions did not seem to have an effect in an outbreak ward but might have been successful in preventing the spread to other areas,</w:t>
      </w:r>
      <w:r w:rsidR="00AC7B89">
        <w:rPr>
          <w:vertAlign w:val="superscript"/>
        </w:rPr>
        <w:t>30</w:t>
      </w:r>
      <w:r>
        <w:t xml:space="preserve"> and one study stated that the introduction </w:t>
      </w:r>
      <w:r w:rsidR="00E34B2D">
        <w:t xml:space="preserve">of </w:t>
      </w:r>
      <w:r>
        <w:t>control measures did not completely stop the transmission but that the cases occurred at lower rate.</w:t>
      </w:r>
      <w:r w:rsidR="00AC7B89">
        <w:rPr>
          <w:vertAlign w:val="superscript"/>
        </w:rPr>
        <w:t>3</w:t>
      </w:r>
      <w:r w:rsidRPr="00FD0C1D">
        <w:rPr>
          <w:vertAlign w:val="superscript"/>
        </w:rPr>
        <w:t>8</w:t>
      </w:r>
      <w:r w:rsidR="000E41A6">
        <w:t xml:space="preserve"> </w:t>
      </w:r>
      <w:r>
        <w:t xml:space="preserve">Following the introduction of gowns and other control measures, the studies reported that </w:t>
      </w:r>
      <w:r w:rsidR="00EB2749">
        <w:t xml:space="preserve">a </w:t>
      </w:r>
      <w:r>
        <w:t>further two to 51 individuals were affected (median 9, based on eight studies</w:t>
      </w:r>
      <w:r w:rsidR="00AC7B89" w:rsidRPr="00AC7B89">
        <w:rPr>
          <w:vertAlign w:val="superscript"/>
        </w:rPr>
        <w:t>20,25,30,32,34,37,55,57</w:t>
      </w:r>
      <w:r>
        <w:t>), lasting between two and 19 days (median</w:t>
      </w:r>
      <w:r w:rsidR="001128A6">
        <w:t xml:space="preserve"> ten </w:t>
      </w:r>
      <w:r>
        <w:t>days, based on eight studies</w:t>
      </w:r>
      <w:r w:rsidR="00AC7B89" w:rsidRPr="00AC7B89">
        <w:rPr>
          <w:vertAlign w:val="superscript"/>
        </w:rPr>
        <w:t>20,25,30,32,34,38,55,57</w:t>
      </w:r>
      <w:r>
        <w:t xml:space="preserve">). </w:t>
      </w:r>
    </w:p>
    <w:p w14:paraId="373AD404" w14:textId="2DBCCB56"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effect of the use of gowns during outbreaks in non-healthcare settings.</w:t>
      </w:r>
    </w:p>
    <w:p w14:paraId="66E463A9" w14:textId="68F147D8" w:rsidR="00FF635C" w:rsidRPr="008105BD"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experience of using gowns or being cared for by a person wearing a gown during outbreaks in any settings.</w:t>
      </w:r>
    </w:p>
    <w:p w14:paraId="62D02BCD" w14:textId="77777777" w:rsidR="00FF635C" w:rsidRPr="00FD0C1D" w:rsidRDefault="00FF635C" w:rsidP="00CF7116">
      <w:pPr>
        <w:pStyle w:val="Heading3"/>
        <w:spacing w:line="276" w:lineRule="auto"/>
      </w:pPr>
      <w:r>
        <w:lastRenderedPageBreak/>
        <w:t>Aprons</w:t>
      </w:r>
    </w:p>
    <w:p w14:paraId="672D3668" w14:textId="4C22889E" w:rsidR="00FF635C" w:rsidRDefault="00FF635C" w:rsidP="00CF7116">
      <w:pPr>
        <w:spacing w:before="240" w:line="276" w:lineRule="auto"/>
      </w:pPr>
      <w:r w:rsidRPr="0095272F">
        <w:t xml:space="preserve">There was </w:t>
      </w:r>
      <w:r w:rsidR="00DD5F0A" w:rsidRPr="00DD5F0A">
        <w:t xml:space="preserve">weak </w:t>
      </w:r>
      <w:r w:rsidR="00DD5F0A" w:rsidRPr="00B15BBD">
        <w:t>evidence</w:t>
      </w:r>
      <w:r w:rsidR="00DD5F0A">
        <w:t xml:space="preserve"> </w:t>
      </w:r>
      <w:r>
        <w:t>from one cross-sectional</w:t>
      </w:r>
      <w:r w:rsidRPr="0039205B">
        <w:rPr>
          <w:vertAlign w:val="superscript"/>
        </w:rPr>
        <w:t>2</w:t>
      </w:r>
      <w:r>
        <w:rPr>
          <w:vertAlign w:val="superscript"/>
        </w:rPr>
        <w:t>1</w:t>
      </w:r>
      <w:r>
        <w:t xml:space="preserve"> and three outbreak studies,</w:t>
      </w:r>
      <w:r w:rsidR="00A164D5" w:rsidRPr="00A164D5">
        <w:rPr>
          <w:vertAlign w:val="superscript"/>
        </w:rPr>
        <w:t>19,27,29</w:t>
      </w:r>
      <w:r w:rsidRPr="009A2010">
        <w:t xml:space="preserve"> </w:t>
      </w:r>
      <w:r>
        <w:t>which reported using aprons during norovirus outbreaks in healthcare setting</w:t>
      </w:r>
      <w:r w:rsidR="00EB2749">
        <w:t>s</w:t>
      </w:r>
      <w:r>
        <w:t>. The cross-sectional study</w:t>
      </w:r>
      <w:r w:rsidRPr="0039205B">
        <w:rPr>
          <w:vertAlign w:val="superscript"/>
        </w:rPr>
        <w:t>21</w:t>
      </w:r>
      <w:r>
        <w:t xml:space="preserve"> compared the incidence of norovirus infection in staff and residents of nursing homes in which plastic aprons were used when caring for symptomatic residents vs. nursing homes which did not. The authors reported that there was no significant difference in the incidence of infection between these groups (OR 0.73 [CI 95% 0.50-1.07] for residents and OR 0.67 [CI 95% 0.41-1.08] for staff, p-value not provided). The three outbreak studies, which reported a total of four outbreaks, all occurring in hospital, affect</w:t>
      </w:r>
      <w:r w:rsidR="00EB2749">
        <w:t>ed</w:t>
      </w:r>
      <w:r>
        <w:t xml:space="preserve"> between 24 and 63 individuals (median 59) </w:t>
      </w:r>
      <w:r w:rsidR="00EB2749">
        <w:t xml:space="preserve">and </w:t>
      </w:r>
      <w:r>
        <w:t>last</w:t>
      </w:r>
      <w:r w:rsidR="00EB2749">
        <w:t>ed</w:t>
      </w:r>
      <w:r>
        <w:t xml:space="preserve"> from eleven to 32 days (median 15 days). These studies introduced aprons exclusively for staff</w:t>
      </w:r>
      <w:r w:rsidR="00A164D5">
        <w:rPr>
          <w:vertAlign w:val="superscript"/>
        </w:rPr>
        <w:t>19,27</w:t>
      </w:r>
      <w:r>
        <w:rPr>
          <w:vertAlign w:val="superscript"/>
        </w:rPr>
        <w:t xml:space="preserve"> </w:t>
      </w:r>
      <w:r>
        <w:t>or for staff and visitors.</w:t>
      </w:r>
      <w:r w:rsidR="00A164D5">
        <w:rPr>
          <w:vertAlign w:val="superscript"/>
        </w:rPr>
        <w:t>29</w:t>
      </w:r>
      <w:r>
        <w:t xml:space="preserve"> The aprons were recommended to be used upon contact with symptomatic patients/residents,</w:t>
      </w:r>
      <w:r w:rsidR="00A164D5">
        <w:rPr>
          <w:vertAlign w:val="superscript"/>
        </w:rPr>
        <w:t>19</w:t>
      </w:r>
      <w:r>
        <w:t xml:space="preserve"> universally;</w:t>
      </w:r>
      <w:r w:rsidR="00A164D5">
        <w:rPr>
          <w:vertAlign w:val="superscript"/>
        </w:rPr>
        <w:t>29</w:t>
      </w:r>
      <w:r>
        <w:t xml:space="preserve"> </w:t>
      </w:r>
      <w:r w:rsidR="00E34B2D">
        <w:t xml:space="preserve">and </w:t>
      </w:r>
      <w:r>
        <w:t>one study did not indicate when the aprons were to be used.</w:t>
      </w:r>
      <w:r w:rsidR="00A164D5">
        <w:rPr>
          <w:vertAlign w:val="superscript"/>
        </w:rPr>
        <w:t>27</w:t>
      </w:r>
      <w:r>
        <w:t xml:space="preserve"> All studies reported that the introduction of aprons, together with other control measures, was successful in controlling the outbreak. Following the introduction of the control measures, the studies reported that </w:t>
      </w:r>
      <w:r w:rsidR="00EB2749">
        <w:t xml:space="preserve">a </w:t>
      </w:r>
      <w:r>
        <w:t>further 21 to 34 individuals were affected (median 27, based on two studies</w:t>
      </w:r>
      <w:r w:rsidR="00A164D5">
        <w:rPr>
          <w:vertAlign w:val="superscript"/>
        </w:rPr>
        <w:t>19</w:t>
      </w:r>
      <w:r w:rsidRPr="0039205B">
        <w:rPr>
          <w:vertAlign w:val="superscript"/>
        </w:rPr>
        <w:t>,</w:t>
      </w:r>
      <w:r w:rsidR="00A164D5">
        <w:rPr>
          <w:vertAlign w:val="superscript"/>
        </w:rPr>
        <w:t>29</w:t>
      </w:r>
      <w:r>
        <w:t>), lasting between six and 13 days (median</w:t>
      </w:r>
      <w:r w:rsidR="001128A6">
        <w:t xml:space="preserve"> eleven </w:t>
      </w:r>
      <w:r>
        <w:t>days, based on two studies</w:t>
      </w:r>
      <w:r w:rsidR="00A164D5">
        <w:rPr>
          <w:vertAlign w:val="superscript"/>
        </w:rPr>
        <w:t>19</w:t>
      </w:r>
      <w:r>
        <w:rPr>
          <w:vertAlign w:val="superscript"/>
        </w:rPr>
        <w:t>,</w:t>
      </w:r>
      <w:r w:rsidR="00A164D5">
        <w:rPr>
          <w:vertAlign w:val="superscript"/>
        </w:rPr>
        <w:t>29</w:t>
      </w:r>
      <w:r>
        <w:t xml:space="preserve">). </w:t>
      </w:r>
    </w:p>
    <w:p w14:paraId="4C8D12F1" w14:textId="21931802"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effect of the use of aprons during outbreaks in non-healthcare settings.</w:t>
      </w:r>
    </w:p>
    <w:p w14:paraId="5B1C7540" w14:textId="316D9B8C"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experience of using aprons or being cared for by a person wearing an apron during outbreaks in any settings.</w:t>
      </w:r>
    </w:p>
    <w:p w14:paraId="6DCAFFF3" w14:textId="77777777" w:rsidR="00FF635C" w:rsidRPr="00FD0C1D" w:rsidRDefault="00FF635C" w:rsidP="00CF7116">
      <w:pPr>
        <w:pStyle w:val="Heading3"/>
        <w:spacing w:line="276" w:lineRule="auto"/>
      </w:pPr>
      <w:r>
        <w:t>Masks and respirators</w:t>
      </w:r>
    </w:p>
    <w:p w14:paraId="1FC9F61B" w14:textId="1F4BDB75" w:rsidR="00FF635C" w:rsidRDefault="00FF635C" w:rsidP="00CF7116">
      <w:pPr>
        <w:spacing w:before="240" w:line="276" w:lineRule="auto"/>
      </w:pPr>
      <w:r w:rsidRPr="0095272F">
        <w:t xml:space="preserve">There was </w:t>
      </w:r>
      <w:r w:rsidR="00DD5F0A" w:rsidRPr="00DD5F0A">
        <w:t xml:space="preserve">weak </w:t>
      </w:r>
      <w:r w:rsidR="00DD5F0A" w:rsidRPr="00B15BBD">
        <w:t>evidence</w:t>
      </w:r>
      <w:r w:rsidR="00DD5F0A">
        <w:t xml:space="preserve"> </w:t>
      </w:r>
      <w:r>
        <w:t>from one cross-sectional study</w:t>
      </w:r>
      <w:r w:rsidRPr="00560348">
        <w:rPr>
          <w:vertAlign w:val="superscript"/>
        </w:rPr>
        <w:t>21</w:t>
      </w:r>
      <w:r>
        <w:t xml:space="preserve"> and 16 outbreak studies,</w:t>
      </w:r>
      <w:r w:rsidR="00A164D5" w:rsidRPr="00A164D5">
        <w:rPr>
          <w:vertAlign w:val="superscript"/>
        </w:rPr>
        <w:t>19,20,22,25,33,34,37,39,55,57,27,62,122,123,125,146</w:t>
      </w:r>
      <w:r w:rsidRPr="009A2010">
        <w:t xml:space="preserve"> </w:t>
      </w:r>
      <w:r>
        <w:t>which reported using surgical masks</w:t>
      </w:r>
      <w:r w:rsidR="00A164D5" w:rsidRPr="00A164D5">
        <w:rPr>
          <w:vertAlign w:val="superscript"/>
        </w:rPr>
        <w:t>19,20,22,25,33,34,37,39,55,57,27,62,122,123,125</w:t>
      </w:r>
      <w:r w:rsidRPr="009A2010">
        <w:t xml:space="preserve"> </w:t>
      </w:r>
      <w:r>
        <w:t>or respirators</w:t>
      </w:r>
      <w:r w:rsidR="00A164D5">
        <w:rPr>
          <w:vertAlign w:val="superscript"/>
        </w:rPr>
        <w:t>146</w:t>
      </w:r>
      <w:r>
        <w:t xml:space="preserve"> during norovirus outbreaks in healthcare setting. </w:t>
      </w:r>
      <w:r w:rsidRPr="00560348">
        <w:t>The cross-sectional study</w:t>
      </w:r>
      <w:r w:rsidRPr="00560348">
        <w:rPr>
          <w:vertAlign w:val="superscript"/>
        </w:rPr>
        <w:t>21</w:t>
      </w:r>
      <w:r w:rsidRPr="00560348">
        <w:t xml:space="preserve"> compared the incidence of norovirus infection in staff of nursing homes in which </w:t>
      </w:r>
      <w:r>
        <w:t>masks were used</w:t>
      </w:r>
      <w:r w:rsidRPr="00560348">
        <w:t xml:space="preserve"> </w:t>
      </w:r>
      <w:r>
        <w:t>for cleaning vomit</w:t>
      </w:r>
      <w:r w:rsidRPr="00560348">
        <w:t xml:space="preserve"> vs. nursing homes which did not.</w:t>
      </w:r>
      <w:r>
        <w:t xml:space="preserve"> The authors reported that staff had a lower incidence of norovirus infections in nursing homes which used masks </w:t>
      </w:r>
      <w:r w:rsidR="00EB2749">
        <w:t>(</w:t>
      </w:r>
      <w:r>
        <w:t xml:space="preserve">OR 0.36 [CI 95% 0.23-0.57] controlled for other factors in </w:t>
      </w:r>
      <w:r w:rsidR="00EB2749">
        <w:t xml:space="preserve">a </w:t>
      </w:r>
      <w:r>
        <w:t>multivariate analysis). The outbreak reports described a total of 20 outbreaks affecting between ten and 95 individuals (median 31) lasting from five to 37 days (median 19 days, based on 15 studies</w:t>
      </w:r>
      <w:r w:rsidR="00A164D5" w:rsidRPr="00A164D5">
        <w:rPr>
          <w:vertAlign w:val="superscript"/>
        </w:rPr>
        <w:t>19,20,22,25,33,34,37,39,55,57,27,62,122,123,125</w:t>
      </w:r>
      <w:r>
        <w:t>). These studies introduced masks exclusively for staff</w:t>
      </w:r>
      <w:r w:rsidR="00A164D5" w:rsidRPr="00A164D5">
        <w:rPr>
          <w:vertAlign w:val="superscript"/>
        </w:rPr>
        <w:t>19,20,22,25,33,34,37,39,55,57,27,62,123,146</w:t>
      </w:r>
      <w:r w:rsidR="00A164D5" w:rsidRPr="009A2010">
        <w:t xml:space="preserve"> </w:t>
      </w:r>
      <w:r>
        <w:t>or for staff and visitors</w:t>
      </w:r>
      <w:r w:rsidR="00A164D5" w:rsidRPr="00A164D5">
        <w:rPr>
          <w:vertAlign w:val="superscript"/>
        </w:rPr>
        <w:t>122,125</w:t>
      </w:r>
      <w:r>
        <w:t xml:space="preserve"> The masks were recommended to be used upon contact with symptomatic patients/residents,</w:t>
      </w:r>
      <w:r w:rsidR="00A164D5" w:rsidRPr="00A164D5">
        <w:rPr>
          <w:vertAlign w:val="superscript"/>
        </w:rPr>
        <w:t>19,33,37,39,54,62,125</w:t>
      </w:r>
      <w:r>
        <w:t xml:space="preserve"> for cleaning vomitus and faeces</w:t>
      </w:r>
      <w:r w:rsidR="00A164D5" w:rsidRPr="00A164D5">
        <w:rPr>
          <w:vertAlign w:val="superscript"/>
        </w:rPr>
        <w:t>19,39,55,62,146</w:t>
      </w:r>
      <w:r>
        <w:t xml:space="preserve"> or universally;</w:t>
      </w:r>
      <w:r w:rsidR="00A164D5" w:rsidRPr="00A164D5">
        <w:rPr>
          <w:vertAlign w:val="superscript"/>
        </w:rPr>
        <w:t>22,25,34,122,123</w:t>
      </w:r>
      <w:r>
        <w:t xml:space="preserve"> </w:t>
      </w:r>
      <w:r w:rsidR="00E34B2D">
        <w:t xml:space="preserve">and </w:t>
      </w:r>
      <w:r>
        <w:t>two studies did not indicate when the masks were used.</w:t>
      </w:r>
      <w:r w:rsidR="00A164D5">
        <w:rPr>
          <w:vertAlign w:val="superscript"/>
        </w:rPr>
        <w:t>20,27</w:t>
      </w:r>
      <w:r>
        <w:t xml:space="preserve"> Of these </w:t>
      </w:r>
      <w:r w:rsidRPr="008F4326">
        <w:t>studies 13 (81%)</w:t>
      </w:r>
      <w:r>
        <w:t xml:space="preserve"> reported that the introduction gowns as a part of the control measures was successful in controlling the outbreak and one study specifically recommended the use of masks during outbreaks.</w:t>
      </w:r>
      <w:r w:rsidR="00A164D5">
        <w:rPr>
          <w:vertAlign w:val="superscript"/>
        </w:rPr>
        <w:t>27</w:t>
      </w:r>
      <w:r>
        <w:t xml:space="preserve"> Of three</w:t>
      </w:r>
      <w:r w:rsidRPr="008105BD">
        <w:t xml:space="preserve"> studies</w:t>
      </w:r>
      <w:r>
        <w:t xml:space="preserve"> which did not, two reported that further control measures were necessary</w:t>
      </w:r>
      <w:r w:rsidR="00A164D5">
        <w:rPr>
          <w:vertAlign w:val="superscript"/>
        </w:rPr>
        <w:t>25</w:t>
      </w:r>
      <w:r>
        <w:rPr>
          <w:vertAlign w:val="superscript"/>
        </w:rPr>
        <w:t>,</w:t>
      </w:r>
      <w:r w:rsidR="00A164D5">
        <w:rPr>
          <w:vertAlign w:val="superscript"/>
        </w:rPr>
        <w:t>33</w:t>
      </w:r>
      <w:r>
        <w:t xml:space="preserve"> and one reported that the cases declined in the original ward but the outbreak spread to another area.</w:t>
      </w:r>
      <w:r w:rsidR="00A164D5">
        <w:rPr>
          <w:vertAlign w:val="superscript"/>
        </w:rPr>
        <w:t>122</w:t>
      </w:r>
      <w:r>
        <w:t xml:space="preserve"> Additionally, the only study which described the use of respirators</w:t>
      </w:r>
      <w:r w:rsidR="00A164D5">
        <w:rPr>
          <w:vertAlign w:val="superscript"/>
        </w:rPr>
        <w:t>146</w:t>
      </w:r>
      <w:r>
        <w:t xml:space="preserve"> reported that after the outbreak ended, the hospital changed its policy and recommended the use of surgical masks rather than N95 respirators, although the authors did not state the reasons for this decision. </w:t>
      </w:r>
      <w:r>
        <w:lastRenderedPageBreak/>
        <w:t xml:space="preserve">Following the introduction of control measures, the studies reported that </w:t>
      </w:r>
      <w:r w:rsidR="00E34B2D">
        <w:t xml:space="preserve">a </w:t>
      </w:r>
      <w:r>
        <w:t>further two to 92 individuals were affected (median 10, based on ten studies</w:t>
      </w:r>
      <w:r w:rsidR="00A164D5" w:rsidRPr="00A164D5">
        <w:rPr>
          <w:vertAlign w:val="superscript"/>
        </w:rPr>
        <w:t>19,20,22,25,34,37,39,55,57,62</w:t>
      </w:r>
      <w:r>
        <w:t>), lasting between two and 19 days (median</w:t>
      </w:r>
      <w:r w:rsidR="001128A6">
        <w:t xml:space="preserve"> eleven </w:t>
      </w:r>
      <w:r>
        <w:t>days, based on nine studies</w:t>
      </w:r>
      <w:r w:rsidR="00A164D5" w:rsidRPr="00A164D5">
        <w:rPr>
          <w:vertAlign w:val="superscript"/>
        </w:rPr>
        <w:t>19,20,22,25,34,39,55,57,621</w:t>
      </w:r>
      <w:r>
        <w:t xml:space="preserve">). </w:t>
      </w:r>
    </w:p>
    <w:p w14:paraId="0763C370" w14:textId="5FAEBB59"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effect of the use of masks and respirators during outbreaks in non-healthcare settings.</w:t>
      </w:r>
    </w:p>
    <w:p w14:paraId="194D41A2" w14:textId="0F3AF1E6"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experience of using masks and respirators or being cared for by a person wearing a mask or respirator during outbreaks in any settings.</w:t>
      </w:r>
    </w:p>
    <w:p w14:paraId="43DBA231" w14:textId="77777777" w:rsidR="00FF635C" w:rsidRPr="00FD0C1D" w:rsidRDefault="00FF635C" w:rsidP="00CF7116">
      <w:pPr>
        <w:pStyle w:val="Heading3"/>
        <w:spacing w:line="276" w:lineRule="auto"/>
      </w:pPr>
      <w:r>
        <w:t>Other PPE</w:t>
      </w:r>
    </w:p>
    <w:p w14:paraId="5BEA106F" w14:textId="0B0C928B" w:rsidR="00FF635C" w:rsidRDefault="00FF635C" w:rsidP="00CF7116">
      <w:pPr>
        <w:spacing w:before="240" w:line="276" w:lineRule="auto"/>
      </w:pPr>
      <w:r w:rsidRPr="0095272F">
        <w:t xml:space="preserve">There was </w:t>
      </w:r>
      <w:r w:rsidR="00DD5F0A">
        <w:t xml:space="preserve">very </w:t>
      </w:r>
      <w:r w:rsidR="00DD5F0A" w:rsidRPr="00DD5F0A">
        <w:t xml:space="preserve">weak </w:t>
      </w:r>
      <w:r w:rsidR="00DD5F0A" w:rsidRPr="00B15BBD">
        <w:t>evidence</w:t>
      </w:r>
      <w:r w:rsidR="00DD5F0A">
        <w:t xml:space="preserve"> </w:t>
      </w:r>
      <w:r>
        <w:t>from three outbreak studies,</w:t>
      </w:r>
      <w:r w:rsidR="00A164D5">
        <w:rPr>
          <w:vertAlign w:val="superscript"/>
        </w:rPr>
        <w:t>113</w:t>
      </w:r>
      <w:r>
        <w:rPr>
          <w:vertAlign w:val="superscript"/>
        </w:rPr>
        <w:t>,</w:t>
      </w:r>
      <w:r w:rsidR="00A164D5">
        <w:rPr>
          <w:vertAlign w:val="superscript"/>
        </w:rPr>
        <w:t>123</w:t>
      </w:r>
      <w:r>
        <w:rPr>
          <w:vertAlign w:val="superscript"/>
        </w:rPr>
        <w:t>,</w:t>
      </w:r>
      <w:r w:rsidR="00A164D5">
        <w:rPr>
          <w:vertAlign w:val="superscript"/>
        </w:rPr>
        <w:t>146</w:t>
      </w:r>
      <w:r w:rsidRPr="009A2010">
        <w:t xml:space="preserve"> </w:t>
      </w:r>
      <w:r w:rsidR="00DD5F0A">
        <w:t xml:space="preserve">which </w:t>
      </w:r>
      <w:r>
        <w:t>reported the use of other forms of PPE during norovirus outbreaks in the healthcare setting. One of these studies,</w:t>
      </w:r>
      <w:r w:rsidR="00A164D5">
        <w:rPr>
          <w:vertAlign w:val="superscript"/>
        </w:rPr>
        <w:t>146</w:t>
      </w:r>
      <w:r>
        <w:t xml:space="preserve"> which reported an outbreak involving 81 cases (duration not reported) mentioned that theatre scrub suits were introduced for all staff working in areas affected by norovirus as a part of the bundle of interventions in response to the outbreak. The reasoning behind this action was that the scrub suits were easily identified, and the staff were not able to leave the affected areas without changing. The authors reported that the control measures were beneficial in controlling an outbreak with cases declining soon after these measures were put in place. Another study</w:t>
      </w:r>
      <w:r w:rsidR="00A164D5">
        <w:rPr>
          <w:vertAlign w:val="superscript"/>
        </w:rPr>
        <w:t>123</w:t>
      </w:r>
      <w:r>
        <w:t xml:space="preserve"> reported that shoe caps and head caps, together with other PPE and other interventions, were in use each time </w:t>
      </w:r>
      <w:r w:rsidR="00E34B2D">
        <w:t>an</w:t>
      </w:r>
      <w:r>
        <w:t xml:space="preserve"> outbreak occurred in their hospitals. The authors believed that PPE, which was worn universally in the affected areas of the hospital were one of the successful strategies which helped </w:t>
      </w:r>
      <w:r w:rsidR="00E34B2D">
        <w:t xml:space="preserve">to </w:t>
      </w:r>
      <w:r>
        <w:t>control the outbreaks. The reported outbreaks (n=4) affected between 13 and 82 individuals (median 45) and lasted between 15 and 30 days (median 24 days). The last study</w:t>
      </w:r>
      <w:r w:rsidR="00A164D5">
        <w:rPr>
          <w:vertAlign w:val="superscript"/>
        </w:rPr>
        <w:t>113</w:t>
      </w:r>
      <w:r>
        <w:t xml:space="preserve"> did not provide any details about the type of PPE used but stated that it was appropriate when working with symptomatic patients or in a pan room</w:t>
      </w:r>
      <w:r w:rsidR="00E34B2D">
        <w:t xml:space="preserve"> (sluice)</w:t>
      </w:r>
      <w:r>
        <w:t>. This study described an outbreak that affected 281 individuals across three institutions, lasting over 32 days. The authors stated that the control measures were mostly successful in controlling the outbreak but the reason for prolonged duration was the healthcare workers returning to work too soon after recovering from illness and infecting others.</w:t>
      </w:r>
      <w:r w:rsidR="000E41A6">
        <w:t xml:space="preserve"> </w:t>
      </w:r>
    </w:p>
    <w:p w14:paraId="40263DA4" w14:textId="61A5117A"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effect of the use of other forms of PPE during outbreaks in non-healthcare settings.</w:t>
      </w:r>
    </w:p>
    <w:p w14:paraId="1617A2C8" w14:textId="5506529E"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experience of using or being cared for by a person wearing using other forms of PPE during outbreaks in any settings.</w:t>
      </w:r>
    </w:p>
    <w:p w14:paraId="23CCA335" w14:textId="07A689FA" w:rsidR="00FF635C" w:rsidRPr="00953810" w:rsidRDefault="00E34B2D" w:rsidP="00CF7116">
      <w:pPr>
        <w:spacing w:before="240" w:line="276" w:lineRule="auto"/>
        <w:rPr>
          <w:rFonts w:cstheme="minorHAnsi"/>
          <w:i/>
          <w:iCs/>
        </w:rPr>
      </w:pPr>
      <w:r w:rsidRPr="00E34B2D">
        <w:rPr>
          <w:rFonts w:cstheme="minorHAnsi"/>
          <w:i/>
          <w:iCs/>
        </w:rPr>
        <w:t xml:space="preserve">Overall, </w:t>
      </w:r>
      <w:r w:rsidR="00953810">
        <w:rPr>
          <w:rFonts w:cstheme="minorHAnsi"/>
          <w:i/>
          <w:iCs/>
        </w:rPr>
        <w:t xml:space="preserve">the Working Party agreed that there is currently very </w:t>
      </w:r>
      <w:r w:rsidRPr="00E34B2D">
        <w:rPr>
          <w:rFonts w:cstheme="minorHAnsi"/>
          <w:i/>
          <w:iCs/>
        </w:rPr>
        <w:t xml:space="preserve">weak evidence that PPE (gloves, aprons and masks) </w:t>
      </w:r>
      <w:r w:rsidR="00EB2749">
        <w:rPr>
          <w:rFonts w:cstheme="minorHAnsi"/>
          <w:i/>
          <w:iCs/>
        </w:rPr>
        <w:t>are</w:t>
      </w:r>
      <w:r w:rsidRPr="00E34B2D">
        <w:rPr>
          <w:rFonts w:cstheme="minorHAnsi"/>
          <w:i/>
          <w:iCs/>
        </w:rPr>
        <w:t xml:space="preserve"> effective during outbreaks of </w:t>
      </w:r>
      <w:r w:rsidR="00953810">
        <w:rPr>
          <w:rFonts w:cstheme="minorHAnsi"/>
          <w:i/>
          <w:iCs/>
        </w:rPr>
        <w:t xml:space="preserve">norovirus. It is possible that PPE may not be cost-effective and there is also a danger that staff are provided with the false sense of security that the use of these items makes them protected. As a result, staff may be less compliant with other control measures which would be more effective, e.g. hand hygiene. Thus, due to the lack of evidence for or against PPE use, the Working Party have no reason to challenge the practice </w:t>
      </w:r>
      <w:r w:rsidR="00EB2749">
        <w:rPr>
          <w:rFonts w:cstheme="minorHAnsi"/>
          <w:i/>
          <w:iCs/>
        </w:rPr>
        <w:t>that</w:t>
      </w:r>
      <w:r w:rsidR="00953810">
        <w:rPr>
          <w:rFonts w:cstheme="minorHAnsi"/>
          <w:i/>
          <w:iCs/>
        </w:rPr>
        <w:t xml:space="preserve"> was recommended by previous guidelines.</w:t>
      </w:r>
      <w:r w:rsidR="00AC0F9C" w:rsidRPr="00AC0F9C">
        <w:rPr>
          <w:vertAlign w:val="superscript"/>
        </w:rPr>
        <w:t>1</w:t>
      </w:r>
      <w:r w:rsidR="00953810">
        <w:rPr>
          <w:rFonts w:cstheme="minorHAnsi"/>
          <w:i/>
          <w:iCs/>
        </w:rPr>
        <w:t xml:space="preserve"> </w:t>
      </w:r>
    </w:p>
    <w:p w14:paraId="7C9DE5D7" w14:textId="77777777" w:rsidR="00FF635C" w:rsidRPr="00535CC1" w:rsidRDefault="00FF635C" w:rsidP="00CF7116">
      <w:pPr>
        <w:spacing w:line="276" w:lineRule="auto"/>
        <w:rPr>
          <w:b/>
          <w:bCs/>
        </w:rPr>
      </w:pPr>
      <w:r w:rsidRPr="00535CC1">
        <w:rPr>
          <w:b/>
          <w:bCs/>
        </w:rPr>
        <w:t>Recommendations:</w:t>
      </w:r>
    </w:p>
    <w:p w14:paraId="50877525" w14:textId="48F58004" w:rsidR="00FF635C" w:rsidRPr="00DC6740" w:rsidRDefault="00953810" w:rsidP="00CF7116">
      <w:pPr>
        <w:spacing w:before="240" w:line="276" w:lineRule="auto"/>
      </w:pPr>
      <w:r w:rsidRPr="00953810">
        <w:rPr>
          <w:b/>
          <w:bCs/>
        </w:rPr>
        <w:lastRenderedPageBreak/>
        <w:t>15.1:</w:t>
      </w:r>
      <w:r>
        <w:t xml:space="preserve"> </w:t>
      </w:r>
      <w:r w:rsidR="00DD5F0A" w:rsidRPr="00DD5F0A">
        <w:t>Use gloves</w:t>
      </w:r>
      <w:r>
        <w:t xml:space="preserve"> and </w:t>
      </w:r>
      <w:r w:rsidR="00DD5F0A" w:rsidRPr="00DD5F0A">
        <w:t>aprons</w:t>
      </w:r>
      <w:r>
        <w:t xml:space="preserve"> when caring for symptomatic norovirus patients. </w:t>
      </w:r>
    </w:p>
    <w:p w14:paraId="77A5F902" w14:textId="77777777" w:rsidR="00FF635C" w:rsidRPr="00535CC1" w:rsidRDefault="00FF635C" w:rsidP="00CF7116">
      <w:pPr>
        <w:spacing w:line="276" w:lineRule="auto"/>
        <w:rPr>
          <w:b/>
          <w:bCs/>
        </w:rPr>
      </w:pPr>
      <w:r w:rsidRPr="00535CC1">
        <w:rPr>
          <w:b/>
          <w:bCs/>
        </w:rPr>
        <w:t>Good practice points:</w:t>
      </w:r>
    </w:p>
    <w:p w14:paraId="354EC97F" w14:textId="3AFBDEAB" w:rsidR="00FF635C" w:rsidRDefault="00953810" w:rsidP="00CF7116">
      <w:pPr>
        <w:spacing w:before="240" w:line="276" w:lineRule="auto"/>
      </w:pPr>
      <w:r w:rsidRPr="00953810">
        <w:rPr>
          <w:b/>
          <w:bCs/>
        </w:rPr>
        <w:t>GPP 15.1:</w:t>
      </w:r>
      <w:r>
        <w:t xml:space="preserve"> </w:t>
      </w:r>
      <w:r w:rsidR="00DD5F0A" w:rsidRPr="00DD5F0A">
        <w:t>Consider using fluid-repellent surgical masks/eye protection when the</w:t>
      </w:r>
      <w:r w:rsidR="00EB2749">
        <w:t>re is a</w:t>
      </w:r>
      <w:r w:rsidR="00DD5F0A" w:rsidRPr="00DD5F0A">
        <w:t xml:space="preserve"> risk of splashes of bodily fluids to the fa</w:t>
      </w:r>
      <w:r>
        <w:t xml:space="preserve">ce. </w:t>
      </w:r>
    </w:p>
    <w:p w14:paraId="034B0C74" w14:textId="77777777" w:rsidR="00EB2749" w:rsidRDefault="00EB2749" w:rsidP="00BF19CD">
      <w:pPr>
        <w:pStyle w:val="NoSpacing"/>
      </w:pPr>
    </w:p>
    <w:p w14:paraId="1336DC3B" w14:textId="71297762" w:rsidR="00E758C0" w:rsidRDefault="00E758C0" w:rsidP="00CF7116">
      <w:pPr>
        <w:pStyle w:val="Heading2"/>
        <w:spacing w:before="240" w:after="160" w:line="276" w:lineRule="auto"/>
      </w:pPr>
      <w:r>
        <w:t>8.16</w:t>
      </w:r>
      <w:r w:rsidRPr="00E758C0">
        <w:tab/>
        <w:t>What is the value of performing environmental sampling in the management of norovirus outbreak</w:t>
      </w:r>
      <w:r w:rsidR="00EB2749">
        <w:t>s</w:t>
      </w:r>
      <w:r w:rsidRPr="00E758C0">
        <w:t>?</w:t>
      </w:r>
    </w:p>
    <w:p w14:paraId="6A9AC8AE" w14:textId="28FA5600" w:rsidR="007E12C1" w:rsidRDefault="007E12C1" w:rsidP="00CF7116">
      <w:pPr>
        <w:spacing w:before="240" w:line="276" w:lineRule="auto"/>
        <w:rPr>
          <w:rFonts w:eastAsia="Times New Roman"/>
        </w:rPr>
      </w:pPr>
      <w:r>
        <w:rPr>
          <w:rFonts w:eastAsia="Times New Roman"/>
        </w:rPr>
        <w:t>With the advancement of a number of technologies and molecular testing becoming widely available, the practice of environmental sampling during (and outside of) norovirus outbreak</w:t>
      </w:r>
      <w:r w:rsidR="00EB2749">
        <w:rPr>
          <w:rFonts w:eastAsia="Times New Roman"/>
        </w:rPr>
        <w:t>s</w:t>
      </w:r>
      <w:r>
        <w:rPr>
          <w:rFonts w:eastAsia="Times New Roman"/>
        </w:rPr>
        <w:t xml:space="preserve"> has become increasingly popular. It is currently not clear what this practice can achieve and whether it provides any benefits. For example, it is not clear whether an identification of positive environmental samples would change anything in the management of an outbreak which has already been declared and where control measures are already in place. If this practice was to continue routinely, it is not clear when, where and how often the sampling should take place. It is possible that environmental sampling may identify a source of continued transmission, but it is currently not clear whether this benefit can justify the cost of routine sampling during each norovirus outbreak or whether routine sampling can prevent the outbreak occurrence. Previous guidelines</w:t>
      </w:r>
      <w:r w:rsidR="00AC0F9C" w:rsidRPr="00AC0F9C">
        <w:rPr>
          <w:vertAlign w:val="superscript"/>
        </w:rPr>
        <w:t>1</w:t>
      </w:r>
      <w:r>
        <w:rPr>
          <w:rFonts w:eastAsia="Times New Roman"/>
        </w:rPr>
        <w:t xml:space="preserve"> have not addressed this question and no recommendation was made in regard to environmental sampling. </w:t>
      </w:r>
    </w:p>
    <w:p w14:paraId="1B18FE3E" w14:textId="77777777" w:rsidR="00EC7A69" w:rsidRPr="00CE7EF9" w:rsidRDefault="00EC7A69" w:rsidP="00CF7116">
      <w:pPr>
        <w:pStyle w:val="Heading3"/>
        <w:spacing w:line="276" w:lineRule="auto"/>
      </w:pPr>
      <w:r w:rsidRPr="00CE7EF9">
        <w:t>Outbreaks in health and care settings</w:t>
      </w:r>
    </w:p>
    <w:p w14:paraId="28DE632C" w14:textId="78BB8390" w:rsidR="00EC7A69" w:rsidRDefault="00EC7A69" w:rsidP="00CF7116">
      <w:pPr>
        <w:spacing w:before="240" w:line="276" w:lineRule="auto"/>
      </w:pPr>
      <w:r w:rsidRPr="0095272F">
        <w:t xml:space="preserve">There was </w:t>
      </w:r>
      <w:r w:rsidRPr="009F5A72">
        <w:t>weak</w:t>
      </w:r>
      <w:r w:rsidRPr="0095272F">
        <w:t xml:space="preserve"> </w:t>
      </w:r>
      <w:r>
        <w:t xml:space="preserve">evidence </w:t>
      </w:r>
      <w:r w:rsidRPr="0095272F">
        <w:t xml:space="preserve">of </w:t>
      </w:r>
      <w:r>
        <w:t>benefit</w:t>
      </w:r>
      <w:r w:rsidRPr="0095272F">
        <w:t xml:space="preserve"> from </w:t>
      </w:r>
      <w:r>
        <w:t>eight outbreak reports</w:t>
      </w:r>
      <w:r w:rsidR="009A05E0" w:rsidRPr="009A05E0">
        <w:rPr>
          <w:vertAlign w:val="superscript"/>
        </w:rPr>
        <w:t>24,33,56,57,123,125,148,149</w:t>
      </w:r>
      <w:r>
        <w:t xml:space="preserve"> and</w:t>
      </w:r>
      <w:r w:rsidRPr="0095272F">
        <w:t xml:space="preserve"> </w:t>
      </w:r>
      <w:r>
        <w:t>one case series study</w:t>
      </w:r>
      <w:r w:rsidR="009A05E0" w:rsidRPr="009A05E0">
        <w:rPr>
          <w:vertAlign w:val="superscript"/>
        </w:rPr>
        <w:t>128</w:t>
      </w:r>
      <w:r>
        <w:rPr>
          <w:vertAlign w:val="superscript"/>
        </w:rPr>
        <w:t xml:space="preserve"> </w:t>
      </w:r>
      <w:r w:rsidRPr="00F25D61">
        <w:t>which investigated the</w:t>
      </w:r>
      <w:r>
        <w:t xml:space="preserve"> effect of environmental sampling in health and care settings during norovirus outbreaks on the risk of transmission of norovirus to others. The outbreaks involved between</w:t>
      </w:r>
      <w:r w:rsidR="001128A6">
        <w:t xml:space="preserve"> eleven </w:t>
      </w:r>
      <w:r>
        <w:t>and over 300 cases (median 31 cases) and lasted between</w:t>
      </w:r>
      <w:r w:rsidR="001128A6">
        <w:t xml:space="preserve"> eleven </w:t>
      </w:r>
      <w:r>
        <w:t>and 63 days (median 37 days). Five of these studies</w:t>
      </w:r>
      <w:r w:rsidR="009A05E0" w:rsidRPr="009A05E0">
        <w:rPr>
          <w:vertAlign w:val="superscript"/>
        </w:rPr>
        <w:t>33,57,125,128,149</w:t>
      </w:r>
      <w:r>
        <w:t xml:space="preserve"> specifically mentioned that environmental sampling resulted in the identification of an environmental source of norovirus which enabled the institutions to remove the contamination and end an outbreak. Four of these studies</w:t>
      </w:r>
      <w:r w:rsidR="009A05E0" w:rsidRPr="009A05E0">
        <w:rPr>
          <w:vertAlign w:val="superscript"/>
        </w:rPr>
        <w:t>24,56,57,33</w:t>
      </w:r>
      <w:r>
        <w:t xml:space="preserve"> reported that following the environmental sampling and decontamination there were between </w:t>
      </w:r>
      <w:r w:rsidR="001128A6">
        <w:t>zero</w:t>
      </w:r>
      <w:r>
        <w:t xml:space="preserve"> and 21 (median </w:t>
      </w:r>
      <w:r w:rsidR="007E12C1">
        <w:t>four</w:t>
      </w:r>
      <w:r>
        <w:t xml:space="preserve">) further cases and that the outbreak ended between </w:t>
      </w:r>
      <w:r w:rsidR="007E12C1">
        <w:t>three</w:t>
      </w:r>
      <w:r>
        <w:t xml:space="preserve"> and 59 days (median</w:t>
      </w:r>
      <w:r w:rsidR="001128A6">
        <w:t xml:space="preserve"> twelve </w:t>
      </w:r>
      <w:r>
        <w:t>days)</w:t>
      </w:r>
      <w:r w:rsidR="007E12C1">
        <w:t xml:space="preserve"> later</w:t>
      </w:r>
      <w:r>
        <w:t>. However, one study,</w:t>
      </w:r>
      <w:r w:rsidR="009A05E0" w:rsidRPr="009A05E0">
        <w:rPr>
          <w:vertAlign w:val="superscript"/>
        </w:rPr>
        <w:t>24</w:t>
      </w:r>
      <w:r>
        <w:t xml:space="preserve"> which reported the longest duration, also reported that the staff were not compliant with interventions which were put in place. In all studies, other interventions were also implemented and could have contributed to </w:t>
      </w:r>
      <w:r w:rsidR="007E12C1">
        <w:t xml:space="preserve">the </w:t>
      </w:r>
      <w:r>
        <w:t>outbreak resolution. There was also an additional outbreak report</w:t>
      </w:r>
      <w:r w:rsidR="009A05E0">
        <w:rPr>
          <w:vertAlign w:val="superscript"/>
        </w:rPr>
        <w:t>25</w:t>
      </w:r>
      <w:r>
        <w:t xml:space="preserve"> which did not use environmental sampling</w:t>
      </w:r>
      <w:r w:rsidR="007E12C1">
        <w:t>,</w:t>
      </w:r>
      <w:r>
        <w:t xml:space="preserve"> but used </w:t>
      </w:r>
      <w:r w:rsidR="007E12C1">
        <w:t xml:space="preserve">an </w:t>
      </w:r>
      <w:r w:rsidR="007E12C1" w:rsidRPr="007E12C1">
        <w:t xml:space="preserve">adenosine triphosphate </w:t>
      </w:r>
      <w:r w:rsidR="007E12C1">
        <w:t>(</w:t>
      </w:r>
      <w:r>
        <w:t>ATP</w:t>
      </w:r>
      <w:r w:rsidR="007E12C1">
        <w:t>)</w:t>
      </w:r>
      <w:r>
        <w:t xml:space="preserve"> meter to assess the adequacy of cleaning, followed by re-clean</w:t>
      </w:r>
      <w:r w:rsidR="007E12C1">
        <w:t>ing</w:t>
      </w:r>
      <w:r>
        <w:t xml:space="preserve"> if necessary. In this outbreak report, cases recurred after initial control measures were put in place and </w:t>
      </w:r>
      <w:r w:rsidR="007E12C1">
        <w:t xml:space="preserve">the </w:t>
      </w:r>
      <w:r>
        <w:t xml:space="preserve">ATP meter was introduced when it was suspected that these cases were due to environmental contamination. </w:t>
      </w:r>
      <w:r w:rsidRPr="00E70102">
        <w:t xml:space="preserve">While this </w:t>
      </w:r>
      <w:r>
        <w:t xml:space="preserve">technology </w:t>
      </w:r>
      <w:r w:rsidRPr="00E70102">
        <w:t xml:space="preserve">is not able to detect viral particles, </w:t>
      </w:r>
      <w:r>
        <w:t>authors suggested that it</w:t>
      </w:r>
      <w:r w:rsidRPr="00E70102">
        <w:t xml:space="preserve"> does have an ability to </w:t>
      </w:r>
      <w:r>
        <w:t>assess</w:t>
      </w:r>
      <w:r w:rsidRPr="00E70102">
        <w:t xml:space="preserve"> whether surface has been sufficiently decontaminated.</w:t>
      </w:r>
      <w:r>
        <w:t xml:space="preserve"> There were no further cases of norovirus, and the authors partly attributed the end of outbreak to ATP monitoring. </w:t>
      </w:r>
    </w:p>
    <w:p w14:paraId="768F4FDF" w14:textId="64A502AF" w:rsidR="00EC7A69" w:rsidRDefault="00EC7A69" w:rsidP="00CF7116">
      <w:pPr>
        <w:spacing w:before="240" w:line="276" w:lineRule="auto"/>
      </w:pPr>
      <w:r w:rsidRPr="0095272F">
        <w:lastRenderedPageBreak/>
        <w:t xml:space="preserve">There was </w:t>
      </w:r>
      <w:r w:rsidRPr="009F5A72">
        <w:t>weak</w:t>
      </w:r>
      <w:r w:rsidRPr="0095272F">
        <w:t xml:space="preserve"> </w:t>
      </w:r>
      <w:r>
        <w:t xml:space="preserve">evidence </w:t>
      </w:r>
      <w:r w:rsidRPr="0095272F">
        <w:t xml:space="preserve">from </w:t>
      </w:r>
      <w:r>
        <w:t>eight outbreak reports,</w:t>
      </w:r>
      <w:r w:rsidR="009A05E0" w:rsidRPr="009A05E0">
        <w:rPr>
          <w:vertAlign w:val="superscript"/>
        </w:rPr>
        <w:t>24,33,56,57,123,125,148,149</w:t>
      </w:r>
      <w:r>
        <w:t xml:space="preserve"> one case series study</w:t>
      </w:r>
      <w:r w:rsidR="009A05E0">
        <w:rPr>
          <w:vertAlign w:val="superscript"/>
        </w:rPr>
        <w:t>128</w:t>
      </w:r>
      <w:r>
        <w:rPr>
          <w:vertAlign w:val="superscript"/>
        </w:rPr>
        <w:t xml:space="preserve"> </w:t>
      </w:r>
      <w:r w:rsidRPr="00457072">
        <w:t xml:space="preserve">and two </w:t>
      </w:r>
      <w:r>
        <w:t>environmental surveys</w:t>
      </w:r>
      <w:r w:rsidR="009A05E0">
        <w:rPr>
          <w:vertAlign w:val="superscript"/>
        </w:rPr>
        <w:t>150,151</w:t>
      </w:r>
      <w:r>
        <w:t xml:space="preserve"> </w:t>
      </w:r>
      <w:r w:rsidRPr="00F25D61">
        <w:t>which investigated the</w:t>
      </w:r>
      <w:r>
        <w:t xml:space="preserve"> extent of environmental contamination in health and care settings during norovirus outbreaks. The studies undertook environmental sampling during 48 norovirus outbreaks and reported that in 39 of these outbreaks (81%, reported by nine studies</w:t>
      </w:r>
      <w:r w:rsidR="009A05E0" w:rsidRPr="009A05E0">
        <w:rPr>
          <w:vertAlign w:val="superscript"/>
        </w:rPr>
        <w:t>24,33,56,123,125,</w:t>
      </w:r>
      <w:r w:rsidR="009A05E0">
        <w:rPr>
          <w:vertAlign w:val="superscript"/>
        </w:rPr>
        <w:t>128,</w:t>
      </w:r>
      <w:r w:rsidR="009A05E0" w:rsidRPr="009A05E0">
        <w:rPr>
          <w:vertAlign w:val="superscript"/>
        </w:rPr>
        <w:t>148</w:t>
      </w:r>
      <w:r w:rsidR="009A05E0">
        <w:rPr>
          <w:vertAlign w:val="superscript"/>
        </w:rPr>
        <w:t>,150,151</w:t>
      </w:r>
      <w:r>
        <w:t>), at least one positive environmental sample was identified. Overall, a median proportion of positive environmental samples reported by these studies was 10% (min 0%, max 50%).</w:t>
      </w:r>
    </w:p>
    <w:p w14:paraId="72F80363" w14:textId="5DDC8A96"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effectiveness of environmental sampling during outbreaks in health and care settings. </w:t>
      </w:r>
    </w:p>
    <w:p w14:paraId="2FA6E407" w14:textId="77777777" w:rsidR="00EC7A69" w:rsidRPr="00CE7EF9" w:rsidRDefault="00EC7A69" w:rsidP="00CF7116">
      <w:pPr>
        <w:pStyle w:val="Heading3"/>
        <w:spacing w:line="276" w:lineRule="auto"/>
      </w:pPr>
      <w:r w:rsidRPr="00CE7EF9">
        <w:t xml:space="preserve">Outbreaks </w:t>
      </w:r>
      <w:r>
        <w:t>outside</w:t>
      </w:r>
      <w:r w:rsidRPr="00CE7EF9">
        <w:t xml:space="preserve"> health and care settings</w:t>
      </w:r>
    </w:p>
    <w:p w14:paraId="3086AC26" w14:textId="6D689C0D" w:rsidR="00EC7A69" w:rsidRDefault="00EC7A69" w:rsidP="00CF7116">
      <w:pPr>
        <w:spacing w:before="240" w:line="276" w:lineRule="auto"/>
      </w:pPr>
      <w:r w:rsidRPr="0095272F">
        <w:t xml:space="preserve">There was </w:t>
      </w:r>
      <w:r w:rsidRPr="009F5A72">
        <w:t>weak</w:t>
      </w:r>
      <w:r w:rsidRPr="0095272F">
        <w:t xml:space="preserve"> </w:t>
      </w:r>
      <w:r>
        <w:t xml:space="preserve">evidence </w:t>
      </w:r>
      <w:r w:rsidRPr="0095272F">
        <w:t xml:space="preserve">of </w:t>
      </w:r>
      <w:r>
        <w:t>benefit</w:t>
      </w:r>
      <w:r w:rsidRPr="0095272F">
        <w:t xml:space="preserve"> from </w:t>
      </w:r>
      <w:r>
        <w:t>eighteen outbreak reports</w:t>
      </w:r>
      <w:r w:rsidR="009A05E0" w:rsidRPr="009A05E0">
        <w:rPr>
          <w:vertAlign w:val="superscript"/>
        </w:rPr>
        <w:t>41,42,46,117,118,124,152-163</w:t>
      </w:r>
      <w:r>
        <w:t xml:space="preserve"> and</w:t>
      </w:r>
      <w:r w:rsidRPr="0095272F">
        <w:t xml:space="preserve"> </w:t>
      </w:r>
      <w:r>
        <w:t>one cross-sectional study</w:t>
      </w:r>
      <w:r w:rsidR="009A05E0">
        <w:rPr>
          <w:vertAlign w:val="superscript"/>
        </w:rPr>
        <w:t>164</w:t>
      </w:r>
      <w:r>
        <w:rPr>
          <w:vertAlign w:val="superscript"/>
        </w:rPr>
        <w:t xml:space="preserve"> </w:t>
      </w:r>
      <w:r w:rsidRPr="00F25D61">
        <w:t>which investigated the</w:t>
      </w:r>
      <w:r>
        <w:t xml:space="preserve"> effect of environmental sampling outside health and care settings on the risk of transmission of norovirus to others. The outbreaks involved between</w:t>
      </w:r>
      <w:r w:rsidR="001128A6">
        <w:t xml:space="preserve"> ten </w:t>
      </w:r>
      <w:r>
        <w:t xml:space="preserve">and 1995 cases (median 77 cases) and lasted between </w:t>
      </w:r>
      <w:r w:rsidR="001128A6">
        <w:t>four</w:t>
      </w:r>
      <w:r>
        <w:t xml:space="preserve"> and 24 days (median 15 days, based on eleven reports</w:t>
      </w:r>
      <w:r w:rsidR="009A05E0" w:rsidRPr="009A05E0">
        <w:rPr>
          <w:vertAlign w:val="superscript"/>
        </w:rPr>
        <w:t>41,46,117,152,154-157,161-163</w:t>
      </w:r>
      <w:r>
        <w:t>). Six</w:t>
      </w:r>
      <w:r w:rsidR="009A05E0" w:rsidRPr="009A05E0">
        <w:rPr>
          <w:vertAlign w:val="superscript"/>
        </w:rPr>
        <w:t>41,153,156,158,159,162</w:t>
      </w:r>
      <w:r>
        <w:t xml:space="preserve"> of the 19 studies reported that environmental sampling enabled them to end the outbreak after the source of environmental norovirus contamination was identified. One study</w:t>
      </w:r>
      <w:r w:rsidR="009A05E0">
        <w:rPr>
          <w:vertAlign w:val="superscript"/>
        </w:rPr>
        <w:t>41</w:t>
      </w:r>
      <w:r>
        <w:t xml:space="preserve"> reported that there were only four cases which occurred up to two days after the source of environmental contamination was identified and eliminated and one study reported</w:t>
      </w:r>
      <w:r w:rsidR="009A05E0">
        <w:rPr>
          <w:vertAlign w:val="superscript"/>
        </w:rPr>
        <w:t>46</w:t>
      </w:r>
      <w:r>
        <w:t xml:space="preserve"> that the outbreak continued for </w:t>
      </w:r>
      <w:r w:rsidR="007E12C1">
        <w:t xml:space="preserve">a </w:t>
      </w:r>
      <w:r>
        <w:t xml:space="preserve">further 15 days but that the incidence of the new cases was lower than before. The remaining 17 studies did not report the number of cases or duration after the intervention. </w:t>
      </w:r>
    </w:p>
    <w:p w14:paraId="3986EBD9" w14:textId="7C8C6DC8" w:rsidR="00EC7A69" w:rsidRDefault="00EC7A69" w:rsidP="00CF7116">
      <w:pPr>
        <w:spacing w:before="240" w:line="276" w:lineRule="auto"/>
      </w:pPr>
      <w:r w:rsidRPr="0095272F">
        <w:t xml:space="preserve">There was </w:t>
      </w:r>
      <w:r w:rsidRPr="009F5A72">
        <w:t>weak</w:t>
      </w:r>
      <w:r w:rsidRPr="0095272F">
        <w:t xml:space="preserve"> </w:t>
      </w:r>
      <w:r>
        <w:t xml:space="preserve">evidence </w:t>
      </w:r>
      <w:r w:rsidRPr="0095272F">
        <w:t xml:space="preserve">from </w:t>
      </w:r>
      <w:r>
        <w:t>eighteen outbreak reports,</w:t>
      </w:r>
      <w:r w:rsidR="009A05E0" w:rsidRPr="009A05E0">
        <w:rPr>
          <w:vertAlign w:val="superscript"/>
        </w:rPr>
        <w:t>41,42,46,117,118,124,152-163</w:t>
      </w:r>
      <w:r>
        <w:t xml:space="preserve"> one cross-sectional study</w:t>
      </w:r>
      <w:r w:rsidR="009A05E0">
        <w:rPr>
          <w:vertAlign w:val="superscript"/>
        </w:rPr>
        <w:t>164</w:t>
      </w:r>
      <w:r w:rsidRPr="00CE7EF9">
        <w:t xml:space="preserve"> </w:t>
      </w:r>
      <w:r w:rsidRPr="00457072">
        <w:t xml:space="preserve">and two </w:t>
      </w:r>
      <w:r>
        <w:t>environmental surveys</w:t>
      </w:r>
      <w:r w:rsidR="009A05E0">
        <w:rPr>
          <w:vertAlign w:val="superscript"/>
        </w:rPr>
        <w:t>151,165</w:t>
      </w:r>
      <w:r>
        <w:t xml:space="preserve"> </w:t>
      </w:r>
      <w:r w:rsidRPr="00F25D61">
        <w:t>which investigated the</w:t>
      </w:r>
      <w:r>
        <w:t xml:space="preserve"> extent of environmental contamination outside health and care settings during norovirus outbreaks. In 15 (71%) of these studies, at least one norovirus-positive environmental sample was identified. Overall, a median proportion of positive environmental samples reported by these studies was 15% (min 0%, max 71%).</w:t>
      </w:r>
    </w:p>
    <w:p w14:paraId="0812A699" w14:textId="6B21C78E"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effectiveness of environmental sampling during outbreaks outside health and care settings. </w:t>
      </w:r>
    </w:p>
    <w:p w14:paraId="4E8DE8FD" w14:textId="77777777" w:rsidR="00EC7A69" w:rsidRPr="00CE7EF9" w:rsidRDefault="00EC7A69" w:rsidP="00CF7116">
      <w:pPr>
        <w:pStyle w:val="Heading3"/>
        <w:spacing w:line="276" w:lineRule="auto"/>
      </w:pPr>
      <w:r>
        <w:t>Environmental surveys outside outbreak situations</w:t>
      </w:r>
    </w:p>
    <w:p w14:paraId="35300E99" w14:textId="5EC8B446" w:rsidR="00EC7A69" w:rsidRDefault="00EC7A69" w:rsidP="00CF7116">
      <w:pPr>
        <w:spacing w:before="240" w:line="276" w:lineRule="auto"/>
      </w:pPr>
      <w:r w:rsidRPr="0095272F">
        <w:t xml:space="preserve">There was </w:t>
      </w:r>
      <w:r w:rsidRPr="009F5A72">
        <w:t>weak</w:t>
      </w:r>
      <w:r w:rsidRPr="0095272F">
        <w:t xml:space="preserve"> </w:t>
      </w:r>
      <w:r>
        <w:t xml:space="preserve">evidence </w:t>
      </w:r>
      <w:r w:rsidRPr="0095272F">
        <w:t xml:space="preserve">from </w:t>
      </w:r>
      <w:r>
        <w:t>nine environmental surveys</w:t>
      </w:r>
      <w:r w:rsidR="009A05E0">
        <w:rPr>
          <w:vertAlign w:val="superscript"/>
        </w:rPr>
        <w:t>166-174</w:t>
      </w:r>
      <w:r w:rsidRPr="00F8059D">
        <w:t xml:space="preserve"> </w:t>
      </w:r>
      <w:r>
        <w:t xml:space="preserve">in non-outbreak situations </w:t>
      </w:r>
      <w:r w:rsidRPr="00F25D61">
        <w:t>which investigated the</w:t>
      </w:r>
      <w:r>
        <w:t xml:space="preserve"> extent of environmental contamination in health and care settings. These studies were performed in situations where either known sporadic norovirus cases were present on a ward or the sampling was undertaken during the norovirus season. All reported that at least one norovirus-positive sample was recovered during the study period</w:t>
      </w:r>
      <w:r w:rsidR="007E12C1">
        <w:t>,</w:t>
      </w:r>
      <w:r>
        <w:t xml:space="preserve"> but norovirus was not present </w:t>
      </w:r>
      <w:r w:rsidR="007E12C1">
        <w:t>on</w:t>
      </w:r>
      <w:r>
        <w:t xml:space="preserve"> all sampling occasions. The recovery rate varied from 0.9% to 80% (median 5.8%), although the study</w:t>
      </w:r>
      <w:r w:rsidR="009A05E0">
        <w:rPr>
          <w:vertAlign w:val="superscript"/>
        </w:rPr>
        <w:t>174</w:t>
      </w:r>
      <w:r>
        <w:t xml:space="preserve"> which reported </w:t>
      </w:r>
      <w:r w:rsidR="007E12C1">
        <w:t xml:space="preserve">a </w:t>
      </w:r>
      <w:r>
        <w:t xml:space="preserve">high recovery rate was undertaken in </w:t>
      </w:r>
      <w:r w:rsidR="007E12C1">
        <w:t>a</w:t>
      </w:r>
      <w:r>
        <w:t xml:space="preserve"> ward where immunocompromised patients were present</w:t>
      </w:r>
      <w:r w:rsidR="007E12C1">
        <w:t>,</w:t>
      </w:r>
      <w:r>
        <w:t xml:space="preserve"> some of whom were known to be chronic shedders. </w:t>
      </w:r>
    </w:p>
    <w:p w14:paraId="0FACD183" w14:textId="2DBBAD88" w:rsidR="00EC7A69" w:rsidRDefault="00EC7A69" w:rsidP="00CF7116">
      <w:pPr>
        <w:spacing w:before="240" w:line="276" w:lineRule="auto"/>
      </w:pPr>
      <w:r w:rsidRPr="0095272F">
        <w:lastRenderedPageBreak/>
        <w:t xml:space="preserve">There was </w:t>
      </w:r>
      <w:r w:rsidRPr="009F5A72">
        <w:t>weak</w:t>
      </w:r>
      <w:r w:rsidRPr="0095272F">
        <w:t xml:space="preserve"> </w:t>
      </w:r>
      <w:r>
        <w:t xml:space="preserve">evidence </w:t>
      </w:r>
      <w:r w:rsidRPr="0095272F">
        <w:t xml:space="preserve">from </w:t>
      </w:r>
      <w:r>
        <w:t>four environmental surveys</w:t>
      </w:r>
      <w:r w:rsidR="009A05E0" w:rsidRPr="009A05E0">
        <w:rPr>
          <w:vertAlign w:val="superscript"/>
        </w:rPr>
        <w:t>158,166,173,175</w:t>
      </w:r>
      <w:r>
        <w:rPr>
          <w:vertAlign w:val="superscript"/>
        </w:rPr>
        <w:t xml:space="preserve"> </w:t>
      </w:r>
      <w:r>
        <w:t xml:space="preserve">in non-outbreak situations </w:t>
      </w:r>
      <w:r w:rsidRPr="00F25D61">
        <w:t>which investigated the</w:t>
      </w:r>
      <w:r>
        <w:t xml:space="preserve"> extent of environmental contamination in settings other than health and care settings. These studies were undertaken during the norovirus season</w:t>
      </w:r>
      <w:r w:rsidR="009A05E0" w:rsidRPr="009A05E0">
        <w:rPr>
          <w:vertAlign w:val="superscript"/>
        </w:rPr>
        <w:t>166,173,175</w:t>
      </w:r>
      <w:r w:rsidRPr="001A227D">
        <w:rPr>
          <w:vertAlign w:val="superscript"/>
        </w:rPr>
        <w:t xml:space="preserve"> </w:t>
      </w:r>
      <w:r>
        <w:t xml:space="preserve">or during </w:t>
      </w:r>
      <w:r w:rsidR="007E12C1">
        <w:t>a</w:t>
      </w:r>
      <w:r>
        <w:t xml:space="preserve"> time whe</w:t>
      </w:r>
      <w:r w:rsidR="007E12C1">
        <w:t>n</w:t>
      </w:r>
      <w:r>
        <w:t xml:space="preserve"> there was</w:t>
      </w:r>
      <w:r w:rsidR="00EB2749">
        <w:t xml:space="preserve"> a</w:t>
      </w:r>
      <w:r>
        <w:t xml:space="preserve"> norovirus outbreak in another nearby establishment.</w:t>
      </w:r>
      <w:r w:rsidR="009A05E0" w:rsidRPr="009A05E0">
        <w:rPr>
          <w:vertAlign w:val="superscript"/>
        </w:rPr>
        <w:t>158</w:t>
      </w:r>
      <w:r>
        <w:t xml:space="preserve"> Two of these studies (50%)</w:t>
      </w:r>
      <w:r w:rsidR="009A05E0" w:rsidRPr="009A05E0">
        <w:rPr>
          <w:vertAlign w:val="superscript"/>
        </w:rPr>
        <w:t>166,175</w:t>
      </w:r>
      <w:r>
        <w:t xml:space="preserve"> reported that at least one norovirus-positive sample was recovered during the study period, but the overall recovery rate was low (1.9%</w:t>
      </w:r>
      <w:r w:rsidR="009A05E0">
        <w:rPr>
          <w:vertAlign w:val="superscript"/>
        </w:rPr>
        <w:t>166</w:t>
      </w:r>
      <w:r>
        <w:t xml:space="preserve"> and 4.4%</w:t>
      </w:r>
      <w:r w:rsidR="009A05E0">
        <w:rPr>
          <w:vertAlign w:val="superscript"/>
        </w:rPr>
        <w:t>175</w:t>
      </w:r>
      <w:r>
        <w:t xml:space="preserve">). One of these studies, which took environmental samples from 123 establishments (restaurants, catering, take away) reported that norovirus was found in </w:t>
      </w:r>
      <w:r w:rsidR="001128A6">
        <w:t>five</w:t>
      </w:r>
      <w:r>
        <w:t xml:space="preserve"> (4%) establishments without any known cases of noroviral illness.</w:t>
      </w:r>
      <w:r w:rsidR="009A05E0">
        <w:rPr>
          <w:vertAlign w:val="superscript"/>
        </w:rPr>
        <w:t>166</w:t>
      </w:r>
      <w:r>
        <w:t xml:space="preserve"> </w:t>
      </w:r>
    </w:p>
    <w:p w14:paraId="73EE3E77" w14:textId="043CE917"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effectiveness of environmental sampling in non-outbreak situations in any of the settings. </w:t>
      </w:r>
    </w:p>
    <w:p w14:paraId="15DF5E0F" w14:textId="4EEC513C" w:rsidR="00EC7A69" w:rsidRDefault="00EC7A69" w:rsidP="00CF7116">
      <w:pPr>
        <w:spacing w:before="240" w:line="276" w:lineRule="auto"/>
      </w:pPr>
      <w:r>
        <w:t xml:space="preserve">There were </w:t>
      </w:r>
      <w:r w:rsidR="007E12C1">
        <w:t xml:space="preserve">a </w:t>
      </w:r>
      <w:r>
        <w:t>further 46 studies</w:t>
      </w:r>
      <w:r w:rsidR="009A05E0" w:rsidRPr="009A05E0">
        <w:rPr>
          <w:vertAlign w:val="superscript"/>
        </w:rPr>
        <w:t>27,1</w:t>
      </w:r>
      <w:r w:rsidR="009A05E0">
        <w:rPr>
          <w:vertAlign w:val="superscript"/>
        </w:rPr>
        <w:t>76</w:t>
      </w:r>
      <w:r w:rsidR="009A05E0" w:rsidRPr="009A05E0">
        <w:rPr>
          <w:vertAlign w:val="superscript"/>
        </w:rPr>
        <w:t>-220</w:t>
      </w:r>
      <w:r>
        <w:t xml:space="preserve"> which did not meet the inclusion criteria because the environmental sampling involved water rather than surfaces. In 34 (74%) of these reports, water testing identified norovirus-positive samples and the results enabled the authors to take corrective measures to either eliminate the source of contamination or impose restrictions to the public to reduce the risk of exposure.</w:t>
      </w:r>
    </w:p>
    <w:p w14:paraId="35281E9F" w14:textId="7D6E040A" w:rsidR="00EC7A69" w:rsidRPr="009F5A72" w:rsidRDefault="00EC7A69" w:rsidP="00CF7116">
      <w:pPr>
        <w:spacing w:before="240" w:line="276" w:lineRule="auto"/>
        <w:rPr>
          <w:i/>
          <w:iCs/>
        </w:rPr>
      </w:pPr>
      <w:r w:rsidRPr="007E12C1">
        <w:rPr>
          <w:i/>
          <w:iCs/>
        </w:rPr>
        <w:t xml:space="preserve">The Working Party reviewed the above evidence and concluded that there is currently no </w:t>
      </w:r>
      <w:r w:rsidR="004517C9">
        <w:rPr>
          <w:i/>
          <w:iCs/>
        </w:rPr>
        <w:t>reason</w:t>
      </w:r>
      <w:r w:rsidRPr="007E12C1">
        <w:rPr>
          <w:i/>
          <w:iCs/>
        </w:rPr>
        <w:t xml:space="preserve"> to support</w:t>
      </w:r>
      <w:r w:rsidR="007E12C1">
        <w:rPr>
          <w:i/>
          <w:iCs/>
        </w:rPr>
        <w:t xml:space="preserve"> routine </w:t>
      </w:r>
      <w:r w:rsidRPr="007E12C1">
        <w:rPr>
          <w:i/>
          <w:iCs/>
        </w:rPr>
        <w:t xml:space="preserve">environmental sampling during outbreaks caused by norovirus. Environmental sampling itself is not essential in controlling the outbreak. The Working Party agreed that there may be outbreak situations where this intervention can provide additional information about </w:t>
      </w:r>
      <w:r w:rsidR="007E12C1">
        <w:rPr>
          <w:i/>
          <w:iCs/>
        </w:rPr>
        <w:t>a</w:t>
      </w:r>
      <w:r w:rsidRPr="007E12C1">
        <w:rPr>
          <w:i/>
          <w:iCs/>
        </w:rPr>
        <w:t xml:space="preserve"> </w:t>
      </w:r>
      <w:r w:rsidR="007E12C1">
        <w:rPr>
          <w:i/>
          <w:iCs/>
        </w:rPr>
        <w:t xml:space="preserve">potential </w:t>
      </w:r>
      <w:r w:rsidRPr="007E12C1">
        <w:rPr>
          <w:i/>
          <w:iCs/>
        </w:rPr>
        <w:t>continuing source of transmission, which may lead to an implementation of additional control measures. The decision to do so should be based on the nature of the outbreak.</w:t>
      </w:r>
      <w:r>
        <w:rPr>
          <w:i/>
          <w:iCs/>
        </w:rPr>
        <w:t xml:space="preserve"> </w:t>
      </w:r>
    </w:p>
    <w:p w14:paraId="5F2B83F0" w14:textId="77777777" w:rsidR="00EC7A69" w:rsidRDefault="00EC7A69" w:rsidP="00CF7116">
      <w:pPr>
        <w:spacing w:before="240" w:line="276" w:lineRule="auto"/>
        <w:rPr>
          <w:b/>
          <w:bCs/>
        </w:rPr>
      </w:pPr>
      <w:r w:rsidRPr="0095272F">
        <w:rPr>
          <w:b/>
          <w:bCs/>
        </w:rPr>
        <w:t>Recommendations:</w:t>
      </w:r>
    </w:p>
    <w:p w14:paraId="237187A6" w14:textId="13652842" w:rsidR="00EC7A69" w:rsidRPr="00A553F9" w:rsidRDefault="004517C9" w:rsidP="00CF7116">
      <w:pPr>
        <w:spacing w:before="240" w:line="276" w:lineRule="auto"/>
      </w:pPr>
      <w:r w:rsidRPr="004517C9">
        <w:rPr>
          <w:b/>
          <w:bCs/>
        </w:rPr>
        <w:t>16.1:</w:t>
      </w:r>
      <w:r>
        <w:t xml:space="preserve"> </w:t>
      </w:r>
      <w:r w:rsidR="00EC7A69" w:rsidRPr="007E12C1">
        <w:t>Do not routinely screen the environment for norovirus, neither during outbreaks, nor in non-outbreak situations.</w:t>
      </w:r>
    </w:p>
    <w:p w14:paraId="556DAFA3" w14:textId="77777777" w:rsidR="00EC7A69" w:rsidRPr="0095272F" w:rsidRDefault="00EC7A69" w:rsidP="00CF7116">
      <w:pPr>
        <w:spacing w:before="240" w:line="276" w:lineRule="auto"/>
        <w:rPr>
          <w:b/>
          <w:bCs/>
        </w:rPr>
      </w:pPr>
      <w:r w:rsidRPr="0095272F">
        <w:rPr>
          <w:b/>
          <w:bCs/>
        </w:rPr>
        <w:t>Good practice points:</w:t>
      </w:r>
    </w:p>
    <w:p w14:paraId="6BF7F33A" w14:textId="3143EF41" w:rsidR="00EC7A69" w:rsidRPr="00DC6740" w:rsidRDefault="004517C9" w:rsidP="00CF7116">
      <w:pPr>
        <w:spacing w:before="240" w:line="276" w:lineRule="auto"/>
      </w:pPr>
      <w:r w:rsidRPr="004517C9">
        <w:rPr>
          <w:b/>
          <w:bCs/>
        </w:rPr>
        <w:t>GPP 16.1:</w:t>
      </w:r>
      <w:r>
        <w:t xml:space="preserve"> </w:t>
      </w:r>
      <w:r w:rsidR="00EC7A69" w:rsidRPr="007E12C1">
        <w:t xml:space="preserve">Consider environmental sampling for norovirus to inform IPC measures during prolonged, </w:t>
      </w:r>
      <w:r w:rsidR="007E12C1" w:rsidRPr="007E12C1">
        <w:t>unusual,</w:t>
      </w:r>
      <w:r w:rsidR="00EC7A69" w:rsidRPr="007E12C1">
        <w:t xml:space="preserve"> or difficult outbreaks.</w:t>
      </w:r>
    </w:p>
    <w:p w14:paraId="6D601BD7" w14:textId="77777777" w:rsidR="00EC7A69" w:rsidRPr="00EC7A69" w:rsidRDefault="00EC7A69" w:rsidP="00CF7116">
      <w:pPr>
        <w:spacing w:before="240" w:line="276" w:lineRule="auto"/>
        <w:rPr>
          <w:rFonts w:eastAsia="Times New Roman"/>
        </w:rPr>
      </w:pPr>
    </w:p>
    <w:p w14:paraId="0E7CF37F" w14:textId="274AA179" w:rsidR="00E758C0" w:rsidRDefault="00E758C0" w:rsidP="00CF7116">
      <w:pPr>
        <w:pStyle w:val="Heading2"/>
        <w:spacing w:before="240" w:after="160" w:line="276" w:lineRule="auto"/>
      </w:pPr>
      <w:r>
        <w:t>8.17</w:t>
      </w:r>
      <w:r w:rsidRPr="00E758C0">
        <w:tab/>
        <w:t xml:space="preserve">What are the most effective cleaning agents and technologies for reducing contamination of </w:t>
      </w:r>
      <w:r w:rsidR="00EB2749">
        <w:t xml:space="preserve">the </w:t>
      </w:r>
      <w:r w:rsidRPr="00E758C0">
        <w:t xml:space="preserve">environment and minimising </w:t>
      </w:r>
      <w:r w:rsidR="00EB2749">
        <w:t xml:space="preserve">the </w:t>
      </w:r>
      <w:r w:rsidRPr="00E758C0">
        <w:t>transmission of norovirus?</w:t>
      </w:r>
    </w:p>
    <w:p w14:paraId="504B2BA4" w14:textId="44456B27" w:rsidR="005D2246" w:rsidRPr="005D2246" w:rsidRDefault="005D2246" w:rsidP="00CF7116">
      <w:pPr>
        <w:spacing w:before="240" w:line="276" w:lineRule="auto"/>
      </w:pPr>
      <w:r>
        <w:t>It is generally accepted that person-to-person and foodborne routes are most common in norovirus spread but the evidence from some outbreak reports supports the assumption that transmission via fomites is also possible. Decontamination of surfaces is usually one of the measures introduced to control a norovirus outbreak. Noroviruses are known to be resistant to many disinfecting agents and require high temperatures to be deactivated. Since they are also unculturable in the laboratory, it is difficult to establish which disinfectants are effective. Previous guidelines</w:t>
      </w:r>
      <w:r w:rsidR="00AC0F9C" w:rsidRPr="00AC0F9C">
        <w:rPr>
          <w:vertAlign w:val="superscript"/>
        </w:rPr>
        <w:t>1</w:t>
      </w:r>
      <w:r>
        <w:t xml:space="preserve"> recommended that 1000 parts per million (ppm, also sometimes described as 0.1%) sodium hypochlorite </w:t>
      </w:r>
      <w:r w:rsidR="00E2003E">
        <w:t xml:space="preserve">(NaCl-) </w:t>
      </w:r>
      <w:r>
        <w:t xml:space="preserve">is used to </w:t>
      </w:r>
      <w:r>
        <w:lastRenderedPageBreak/>
        <w:t xml:space="preserve">decontaminate all surfaces during </w:t>
      </w:r>
      <w:r w:rsidR="00F154F2">
        <w:t xml:space="preserve">a </w:t>
      </w:r>
      <w:r>
        <w:t xml:space="preserve">norovirus outbreak. However, </w:t>
      </w:r>
      <w:r w:rsidR="00E2003E">
        <w:t>NaCl-</w:t>
      </w:r>
      <w:r>
        <w:t xml:space="preserve"> is corrosive </w:t>
      </w:r>
      <w:r w:rsidR="00F154F2">
        <w:t xml:space="preserve">and </w:t>
      </w:r>
      <w:r>
        <w:t>is therefore not suitable for decontamination of some surfaces</w:t>
      </w:r>
      <w:r w:rsidR="00F154F2">
        <w:t>,</w:t>
      </w:r>
      <w:r>
        <w:t xml:space="preserve"> alternative disinfectants are needed. Despite its widespread use during norovirus outbreaks, it is still not clear whether </w:t>
      </w:r>
      <w:r w:rsidR="00E2003E">
        <w:t>NaCl-</w:t>
      </w:r>
      <w:r>
        <w:t xml:space="preserve"> is effective in deactivating norovirus. There are also further issues that need to be considered, for example the concentration and the contact time required to achieve deactivation, the presence of organic soiling and the variation in cleaning methods used by the cleaning personnel. In recent years, new technologies such as ultraviolet C (UVC) and hydrogen peroxide vapour (HPV) devices have been introduced but it is still not known whether these are effective in norovirus deactivation. A</w:t>
      </w:r>
      <w:r w:rsidR="00F154F2">
        <w:t>n a</w:t>
      </w:r>
      <w:r>
        <w:t xml:space="preserve">dditional complication is the </w:t>
      </w:r>
      <w:r w:rsidR="00F154F2">
        <w:t xml:space="preserve">potential </w:t>
      </w:r>
      <w:r>
        <w:t xml:space="preserve">presence of soft furnishings (e.g. carpets, curtains, chair/bed tapestry) on which </w:t>
      </w:r>
      <w:r w:rsidR="00E2003E">
        <w:t>NaCl-</w:t>
      </w:r>
      <w:r>
        <w:t xml:space="preserve"> cannot be used</w:t>
      </w:r>
      <w:r w:rsidR="00F154F2">
        <w:t>,</w:t>
      </w:r>
      <w:r>
        <w:t xml:space="preserve"> but </w:t>
      </w:r>
      <w:r w:rsidR="00F154F2">
        <w:t xml:space="preserve">these </w:t>
      </w:r>
      <w:r>
        <w:t>can still be source</w:t>
      </w:r>
      <w:r w:rsidR="00F154F2">
        <w:t>s as</w:t>
      </w:r>
      <w:r>
        <w:t xml:space="preserve"> fomites during outbreaks. It is therefore important to identify which types of disinfectants are or are not effective and which ones can be used on different types of surfaces. </w:t>
      </w:r>
    </w:p>
    <w:p w14:paraId="4C14D65E" w14:textId="142D896D" w:rsidR="00EC7A69" w:rsidRPr="00906DF5" w:rsidRDefault="00EC7A69" w:rsidP="00CF7116">
      <w:pPr>
        <w:pStyle w:val="Heading3"/>
        <w:spacing w:line="276" w:lineRule="auto"/>
      </w:pPr>
      <w:r w:rsidRPr="00906DF5">
        <w:t>Sodium hypochlorite</w:t>
      </w:r>
      <w:r w:rsidR="00E2003E">
        <w:t xml:space="preserve"> (NaCl-)</w:t>
      </w:r>
    </w:p>
    <w:p w14:paraId="5670C0DE" w14:textId="29112408" w:rsidR="00EC7A69" w:rsidRDefault="00EC7A69" w:rsidP="00CF7116">
      <w:pPr>
        <w:spacing w:before="240" w:line="276" w:lineRule="auto"/>
      </w:pPr>
      <w:r w:rsidRPr="006745CD">
        <w:t>There was inconsistent evidence from one prospective cohort,</w:t>
      </w:r>
      <w:r w:rsidR="006745CD">
        <w:rPr>
          <w:vertAlign w:val="superscript"/>
        </w:rPr>
        <w:t>221</w:t>
      </w:r>
      <w:r w:rsidRPr="006745CD">
        <w:t xml:space="preserve"> one cross-sectional study</w:t>
      </w:r>
      <w:r w:rsidRPr="006745CD">
        <w:rPr>
          <w:vertAlign w:val="superscript"/>
        </w:rPr>
        <w:t>2</w:t>
      </w:r>
      <w:r w:rsidR="006745CD">
        <w:rPr>
          <w:vertAlign w:val="superscript"/>
        </w:rPr>
        <w:t>1</w:t>
      </w:r>
      <w:r w:rsidRPr="006745CD">
        <w:t xml:space="preserve"> and 20 outbreak reports</w:t>
      </w:r>
      <w:r w:rsidR="006745CD" w:rsidRPr="006745CD">
        <w:rPr>
          <w:vertAlign w:val="superscript"/>
        </w:rPr>
        <w:t>14,19,22,23,25,26,29,30,32,34,36,38,39,108,111,112,115,121,123,125</w:t>
      </w:r>
      <w:r w:rsidRPr="006745CD">
        <w:rPr>
          <w:vertAlign w:val="superscript"/>
        </w:rPr>
        <w:t xml:space="preserve"> </w:t>
      </w:r>
      <w:r w:rsidRPr="006745CD">
        <w:t>which investigated the incidence and duration of norovirus infection during</w:t>
      </w:r>
      <w:r>
        <w:t xml:space="preserve"> outbreaks in health and care settings with the use of </w:t>
      </w:r>
      <w:r w:rsidR="00E2003E">
        <w:t>NaCl-</w:t>
      </w:r>
      <w:r>
        <w:t>. The concentration of the disinfectant varied from 100ppm</w:t>
      </w:r>
      <w:r w:rsidR="006745CD">
        <w:rPr>
          <w:vertAlign w:val="superscript"/>
        </w:rPr>
        <w:t>30</w:t>
      </w:r>
      <w:r>
        <w:t xml:space="preserve"> to 10% (100,000)</w:t>
      </w:r>
      <w:r w:rsidR="006745CD">
        <w:rPr>
          <w:vertAlign w:val="superscript"/>
        </w:rPr>
        <w:t>32</w:t>
      </w:r>
      <w:r>
        <w:t xml:space="preserve"> with six studies not reporting the concentration at all.</w:t>
      </w:r>
      <w:r w:rsidR="006745CD" w:rsidRPr="006745CD">
        <w:rPr>
          <w:vertAlign w:val="superscript"/>
        </w:rPr>
        <w:t>14,34,112,121,125,221</w:t>
      </w:r>
      <w:r>
        <w:t xml:space="preserve"> One study</w:t>
      </w:r>
      <w:r w:rsidR="006745CD">
        <w:rPr>
          <w:vertAlign w:val="superscript"/>
        </w:rPr>
        <w:t>221</w:t>
      </w:r>
      <w:r>
        <w:t xml:space="preserve"> reported that the transmission of cases in two hospital units was not due to environmental contamination and, as a result</w:t>
      </w:r>
      <w:r w:rsidR="005D2246">
        <w:t>,</w:t>
      </w:r>
      <w:r>
        <w:t xml:space="preserve"> concluded that </w:t>
      </w:r>
      <w:r w:rsidR="00E2003E">
        <w:t>NaCl-</w:t>
      </w:r>
      <w:r>
        <w:t xml:space="preserve"> as well as steam used as an alternative are equally effective in minimising environmental spread: 14/32 (44%) in a unit using </w:t>
      </w:r>
      <w:r w:rsidR="00E2003E">
        <w:t>NaCl-</w:t>
      </w:r>
      <w:r>
        <w:t xml:space="preserve"> vs 22/32 (69%) in a unit using steam (</w:t>
      </w:r>
      <w:r w:rsidRPr="0035469B">
        <w:rPr>
          <w:i/>
          <w:iCs/>
        </w:rPr>
        <w:t>p</w:t>
      </w:r>
      <w:r>
        <w:t>-value not reported but not significant). In both units, outbreak</w:t>
      </w:r>
      <w:r w:rsidR="005D2246">
        <w:t>s</w:t>
      </w:r>
      <w:r>
        <w:t xml:space="preserve"> lasted </w:t>
      </w:r>
      <w:r w:rsidR="005D2246">
        <w:t>for five</w:t>
      </w:r>
      <w:r>
        <w:t xml:space="preserve"> days. One cross-sectional study,</w:t>
      </w:r>
      <w:r w:rsidRPr="0035469B">
        <w:rPr>
          <w:vertAlign w:val="superscript"/>
        </w:rPr>
        <w:t>2</w:t>
      </w:r>
      <w:r w:rsidR="006745CD">
        <w:rPr>
          <w:vertAlign w:val="superscript"/>
        </w:rPr>
        <w:t>1</w:t>
      </w:r>
      <w:r>
        <w:t xml:space="preserve"> which compared nursing homes that used </w:t>
      </w:r>
      <w:r w:rsidR="00E2003E">
        <w:t>NaCl-</w:t>
      </w:r>
      <w:r>
        <w:t xml:space="preserve"> to those that did not (details not reported) demonstrated that there was no reduced risk of norovirus infections for patients and staff when 250ppm </w:t>
      </w:r>
      <w:r w:rsidR="00E2003E">
        <w:t>NaCl-</w:t>
      </w:r>
      <w:r>
        <w:t xml:space="preserve"> was used (OR 0.83 [95%CI 0.40-1.73] for residents; OR 1.06 [95%CI 0.44-2.56] for staff) but there was a significant difference when 1000ppm </w:t>
      </w:r>
      <w:r w:rsidR="00E2003E">
        <w:t>NaCl-</w:t>
      </w:r>
      <w:r>
        <w:t xml:space="preserve"> was used ( OR 0.45 [CI95% 0.25-0.80] for residents; OR 0.37 [95% CI 0.20-0.70] for staff). The outbreak studies</w:t>
      </w:r>
      <w:r w:rsidR="006745CD">
        <w:t>,</w:t>
      </w:r>
      <w:r w:rsidR="006745CD" w:rsidRPr="006745CD">
        <w:rPr>
          <w:vertAlign w:val="superscript"/>
        </w:rPr>
        <w:t xml:space="preserve">14,19,22,23,25,26,29,30,32,34,36,38,39,108,111,112,115,121,123,125 </w:t>
      </w:r>
      <w:r>
        <w:t xml:space="preserve">which reported using </w:t>
      </w:r>
      <w:r w:rsidR="00E2003E">
        <w:t>NaCl-</w:t>
      </w:r>
      <w:r>
        <w:t xml:space="preserve"> for disinfection had between eight and 355 cases (median 31) and lasted from six days to over </w:t>
      </w:r>
      <w:r w:rsidR="001128A6">
        <w:t>two</w:t>
      </w:r>
      <w:r>
        <w:t xml:space="preserve"> months (median 14 days). Of these 20 outbreak reports 15 (75%) reported that, together with other measures, introduction of </w:t>
      </w:r>
      <w:r w:rsidR="00E2003E">
        <w:t>NaCl-</w:t>
      </w:r>
      <w:r>
        <w:t xml:space="preserve"> disinfection,</w:t>
      </w:r>
      <w:r w:rsidR="006745CD" w:rsidRPr="006745CD">
        <w:rPr>
          <w:vertAlign w:val="superscript"/>
        </w:rPr>
        <w:t>19,22,23,29,32,34,36,38,39,108,112,115,123,125</w:t>
      </w:r>
      <w:r>
        <w:t xml:space="preserve"> or </w:t>
      </w:r>
      <w:r w:rsidR="005D2246">
        <w:t>an</w:t>
      </w:r>
      <w:r>
        <w:t xml:space="preserve"> increase of concentration</w:t>
      </w:r>
      <w:r w:rsidR="00F154F2">
        <w:t>,</w:t>
      </w:r>
      <w:r w:rsidR="006745CD">
        <w:rPr>
          <w:vertAlign w:val="superscript"/>
        </w:rPr>
        <w:t>25</w:t>
      </w:r>
      <w:r>
        <w:t xml:space="preserve"> were beneficial in controlling an outbreak. From the studies which did not report </w:t>
      </w:r>
      <w:r w:rsidR="00E2003E">
        <w:t>NaCl-</w:t>
      </w:r>
      <w:r>
        <w:t xml:space="preserve"> </w:t>
      </w:r>
      <w:r w:rsidR="005D2246">
        <w:t xml:space="preserve">to be </w:t>
      </w:r>
      <w:r>
        <w:t>beneficial, two did not provide information about the concentration that was used,</w:t>
      </w:r>
      <w:r w:rsidR="006745CD">
        <w:rPr>
          <w:vertAlign w:val="superscript"/>
        </w:rPr>
        <w:t>14,121</w:t>
      </w:r>
      <w:r>
        <w:t xml:space="preserve"> one used 1000ppm</w:t>
      </w:r>
      <w:r w:rsidR="006745CD">
        <w:rPr>
          <w:vertAlign w:val="superscript"/>
        </w:rPr>
        <w:t>26</w:t>
      </w:r>
      <w:r>
        <w:t xml:space="preserve"> and one used 100ppm.</w:t>
      </w:r>
      <w:r w:rsidR="006745CD">
        <w:rPr>
          <w:vertAlign w:val="superscript"/>
        </w:rPr>
        <w:t>30</w:t>
      </w:r>
      <w:r>
        <w:t xml:space="preserve"> Another report</w:t>
      </w:r>
      <w:r w:rsidR="006745CD">
        <w:rPr>
          <w:vertAlign w:val="superscript"/>
        </w:rPr>
        <w:t>111</w:t>
      </w:r>
      <w:r>
        <w:t xml:space="preserve"> stated that </w:t>
      </w:r>
      <w:r w:rsidR="00E2003E">
        <w:t>NaCl-</w:t>
      </w:r>
      <w:r>
        <w:t xml:space="preserve"> disinfection (2%) was not fully implemented because it was corrosive to some surfaces (e.g. commodes) and was therefore avoided by the staff. From a total of ten reports which provided data after the introduction of </w:t>
      </w:r>
      <w:r w:rsidR="00E2003E">
        <w:t>NaCl-</w:t>
      </w:r>
      <w:r>
        <w:t xml:space="preserve"> disinfection, there were between one and 92 further norovirus cases (median 16, based on ten studies</w:t>
      </w:r>
      <w:r w:rsidR="006745CD" w:rsidRPr="006745CD">
        <w:rPr>
          <w:vertAlign w:val="superscript"/>
        </w:rPr>
        <w:t>19,22,23,25,29,30,32,36,38,39</w:t>
      </w:r>
      <w:r>
        <w:t xml:space="preserve">) and the outbreaks lasted from </w:t>
      </w:r>
      <w:r w:rsidR="001128A6">
        <w:t>two</w:t>
      </w:r>
      <w:r>
        <w:t xml:space="preserve"> to 19 days (median </w:t>
      </w:r>
      <w:r w:rsidR="001128A6">
        <w:t>five</w:t>
      </w:r>
      <w:r>
        <w:t xml:space="preserve"> days, based on nine studies</w:t>
      </w:r>
      <w:r w:rsidR="006745CD" w:rsidRPr="006745CD">
        <w:rPr>
          <w:vertAlign w:val="superscript"/>
        </w:rPr>
        <w:t>19,22,23,25,29,30,32,36,39</w:t>
      </w:r>
      <w:r>
        <w:t>). There was another outbreak report</w:t>
      </w:r>
      <w:r w:rsidR="006745CD">
        <w:rPr>
          <w:vertAlign w:val="superscript"/>
        </w:rPr>
        <w:t>37</w:t>
      </w:r>
      <w:r>
        <w:t xml:space="preserve"> which mentioned that ‘bleach’ (concentration not described) was used and reported that only four cases of norovirus were identified after interventions were put in place, despite chronic shedders being present on a ward. There were </w:t>
      </w:r>
      <w:r w:rsidR="005D2246">
        <w:t xml:space="preserve">five </w:t>
      </w:r>
      <w:r>
        <w:t>further outbreak reports</w:t>
      </w:r>
      <w:r w:rsidR="006745CD" w:rsidRPr="006745CD">
        <w:rPr>
          <w:vertAlign w:val="superscript"/>
        </w:rPr>
        <w:t>31,40,56,126,222</w:t>
      </w:r>
      <w:r>
        <w:t xml:space="preserve"> and one case series study</w:t>
      </w:r>
      <w:r w:rsidR="006745CD">
        <w:rPr>
          <w:vertAlign w:val="superscript"/>
        </w:rPr>
        <w:t>128</w:t>
      </w:r>
      <w:r>
        <w:t xml:space="preserve"> which described the use of </w:t>
      </w:r>
      <w:r w:rsidR="00E2003E">
        <w:t>NaCl-</w:t>
      </w:r>
      <w:r>
        <w:t xml:space="preserve"> with other forms of disinfection (hot water,</w:t>
      </w:r>
      <w:r w:rsidR="006745CD">
        <w:rPr>
          <w:vertAlign w:val="superscript"/>
        </w:rPr>
        <w:t>40,56</w:t>
      </w:r>
      <w:r>
        <w:t xml:space="preserve"> hypochlorous acid,</w:t>
      </w:r>
      <w:r w:rsidRPr="00BC0224">
        <w:rPr>
          <w:vertAlign w:val="superscript"/>
        </w:rPr>
        <w:t>2</w:t>
      </w:r>
      <w:r w:rsidR="006745CD">
        <w:rPr>
          <w:vertAlign w:val="superscript"/>
        </w:rPr>
        <w:t>22</w:t>
      </w:r>
      <w:r>
        <w:t xml:space="preserve"> alcohol </w:t>
      </w:r>
      <w:r>
        <w:lastRenderedPageBreak/>
        <w:t>wipes,</w:t>
      </w:r>
      <w:r w:rsidR="006745CD">
        <w:rPr>
          <w:vertAlign w:val="superscript"/>
        </w:rPr>
        <w:t>31</w:t>
      </w:r>
      <w:r>
        <w:t xml:space="preserve"> </w:t>
      </w:r>
      <w:r w:rsidR="00E2003E">
        <w:t>HPV</w:t>
      </w:r>
      <w:r>
        <w:t>,</w:t>
      </w:r>
      <w:r w:rsidR="006745CD">
        <w:rPr>
          <w:vertAlign w:val="superscript"/>
        </w:rPr>
        <w:t>128</w:t>
      </w:r>
      <w:r>
        <w:t xml:space="preserve"> ultraviolet light (UV)</w:t>
      </w:r>
      <w:r w:rsidR="006745CD">
        <w:rPr>
          <w:vertAlign w:val="superscript"/>
        </w:rPr>
        <w:t>128</w:t>
      </w:r>
      <w:r>
        <w:t xml:space="preserve"> and Environmental Protection Agency (EPA)-approved products (details not reported)</w:t>
      </w:r>
      <w:r w:rsidR="006745CD">
        <w:rPr>
          <w:vertAlign w:val="superscript"/>
        </w:rPr>
        <w:t>126</w:t>
      </w:r>
      <w:r>
        <w:t>). These studies reported outbreaks which affected between 17 and 394 (median 105) cases and lasted between</w:t>
      </w:r>
      <w:r w:rsidR="001128A6">
        <w:t xml:space="preserve"> ten </w:t>
      </w:r>
      <w:r>
        <w:t>and 47 days (median 18 days). Three studies</w:t>
      </w:r>
      <w:r w:rsidR="006745CD">
        <w:rPr>
          <w:vertAlign w:val="superscript"/>
        </w:rPr>
        <w:t>31,40,222</w:t>
      </w:r>
      <w:r>
        <w:t xml:space="preserve"> reported that implementation of disinfection</w:t>
      </w:r>
      <w:r w:rsidR="005D2246">
        <w:t>,</w:t>
      </w:r>
      <w:r>
        <w:t xml:space="preserve"> together with other control measures, were beneficial in ending an outbreak. From the studies which did not, one did not find environmental contamination and concluded that person-to-person spread from </w:t>
      </w:r>
      <w:r w:rsidR="005D2246">
        <w:t>staff</w:t>
      </w:r>
      <w:r>
        <w:t xml:space="preserve"> who were employed in multiple nursing homes was the reason for prolonged outbreak,</w:t>
      </w:r>
      <w:r w:rsidR="006745CD">
        <w:rPr>
          <w:vertAlign w:val="superscript"/>
        </w:rPr>
        <w:t>126</w:t>
      </w:r>
      <w:r>
        <w:t xml:space="preserve"> while another study used 500ppm of </w:t>
      </w:r>
      <w:r w:rsidR="00E2003E">
        <w:t>NaCl-</w:t>
      </w:r>
      <w:r>
        <w:t xml:space="preserve"> (and hot water).</w:t>
      </w:r>
      <w:r w:rsidR="006745CD">
        <w:rPr>
          <w:vertAlign w:val="superscript"/>
        </w:rPr>
        <w:t>56</w:t>
      </w:r>
      <w:r>
        <w:t xml:space="preserve"> The remaining study</w:t>
      </w:r>
      <w:r w:rsidR="006745CD">
        <w:rPr>
          <w:vertAlign w:val="superscript"/>
        </w:rPr>
        <w:t>128</w:t>
      </w:r>
      <w:r>
        <w:t xml:space="preserve"> reported a prolonged</w:t>
      </w:r>
      <w:r w:rsidRPr="00BC0224">
        <w:t xml:space="preserve"> outbreak due to a chronic carrier who had persistent diarrhoea. </w:t>
      </w:r>
      <w:r>
        <w:t>This patient</w:t>
      </w:r>
      <w:r w:rsidRPr="00BC0224">
        <w:t xml:space="preserve"> had multiple stays on a ward over</w:t>
      </w:r>
      <w:r w:rsidR="001128A6">
        <w:t xml:space="preserve"> ten </w:t>
      </w:r>
      <w:r>
        <w:t>months and it was reported that d</w:t>
      </w:r>
      <w:r w:rsidRPr="00BC0224">
        <w:t xml:space="preserve">uring </w:t>
      </w:r>
      <w:r>
        <w:t xml:space="preserve">these </w:t>
      </w:r>
      <w:r w:rsidRPr="00BC0224">
        <w:t xml:space="preserve">admissions, </w:t>
      </w:r>
      <w:r>
        <w:t xml:space="preserve">despite the patient being isolated, other patients acquired norovirus. Additionally, it was reported that the rooms were terminally disinfected with </w:t>
      </w:r>
      <w:r w:rsidR="00E2003E">
        <w:t>NaCl-</w:t>
      </w:r>
      <w:r>
        <w:t xml:space="preserve"> (1000 or 2000ppm) and</w:t>
      </w:r>
      <w:r w:rsidRPr="00BC0224">
        <w:t xml:space="preserve"> </w:t>
      </w:r>
      <w:r w:rsidR="00E2003E">
        <w:t>HPV</w:t>
      </w:r>
      <w:r>
        <w:t xml:space="preserve">, yet patients who </w:t>
      </w:r>
      <w:r w:rsidRPr="00BC0224">
        <w:t xml:space="preserve">occupied the room after </w:t>
      </w:r>
      <w:r>
        <w:t>the index patient also became ill</w:t>
      </w:r>
      <w:r w:rsidRPr="00BC0224">
        <w:t>.</w:t>
      </w:r>
      <w:r>
        <w:t xml:space="preserve"> Environmental sampling performed after disinfection with </w:t>
      </w:r>
      <w:r w:rsidR="00E2003E">
        <w:t>NaCl-</w:t>
      </w:r>
      <w:r>
        <w:t xml:space="preserve"> and peroxide revealed persistent norovirus contamination which was only eradicated after UV light was added to the protocol. </w:t>
      </w:r>
    </w:p>
    <w:p w14:paraId="3EA3F3FE" w14:textId="0521E312" w:rsidR="00EC7A69" w:rsidRDefault="00EC7A69" w:rsidP="00CF7116">
      <w:pPr>
        <w:spacing w:before="240" w:line="276" w:lineRule="auto"/>
      </w:pPr>
      <w:r w:rsidRPr="0095272F">
        <w:t xml:space="preserve">There was </w:t>
      </w:r>
      <w:r w:rsidR="006745CD">
        <w:t xml:space="preserve">very </w:t>
      </w:r>
      <w:r w:rsidRPr="00DC5265">
        <w:t>weak evidence</w:t>
      </w:r>
      <w:r w:rsidRPr="0095272F">
        <w:t xml:space="preserve"> </w:t>
      </w:r>
      <w:r>
        <w:t>from one outbreak report</w:t>
      </w:r>
      <w:r w:rsidR="006745CD">
        <w:rPr>
          <w:vertAlign w:val="superscript"/>
        </w:rPr>
        <w:t>26</w:t>
      </w:r>
      <w:r>
        <w:rPr>
          <w:vertAlign w:val="superscript"/>
        </w:rPr>
        <w:t xml:space="preserve"> </w:t>
      </w:r>
      <w:r w:rsidRPr="00F25D61">
        <w:t xml:space="preserve">which </w:t>
      </w:r>
      <w:r>
        <w:t xml:space="preserve">reported the cost of using </w:t>
      </w:r>
      <w:r w:rsidR="00E2003E">
        <w:t>NaCl-</w:t>
      </w:r>
      <w:r>
        <w:t xml:space="preserve"> disinfection</w:t>
      </w:r>
      <w:r w:rsidR="005D2246">
        <w:t xml:space="preserve"> in health and care settings</w:t>
      </w:r>
      <w:r>
        <w:t xml:space="preserve">. This was a large outbreak which affected 355 cases and lasted over two months. The authors reported that a total cost of cleaning and disinfection, which also included enhanced cleaning with instructions to domestic staff on how cleaning should be conducted, was $96,961 (approx. £73,722). The outbreak was extensive, and it was not recognised until six weeks after the first cases occurred. </w:t>
      </w:r>
    </w:p>
    <w:p w14:paraId="32D42DF7" w14:textId="24DA11BC" w:rsidR="00EC7A69" w:rsidRDefault="00EC7A69" w:rsidP="00CF7116">
      <w:pPr>
        <w:spacing w:before="240" w:line="276" w:lineRule="auto"/>
      </w:pPr>
      <w:r w:rsidRPr="0095272F">
        <w:t xml:space="preserve">There was </w:t>
      </w:r>
      <w:r w:rsidRPr="00DC5265">
        <w:t>inconsistent evidence o</w:t>
      </w:r>
      <w:r w:rsidRPr="0095272F">
        <w:t xml:space="preserve">f </w:t>
      </w:r>
      <w:r>
        <w:t>benefit from eight outbreak reports</w:t>
      </w:r>
      <w:r w:rsidR="006745CD">
        <w:t>,</w:t>
      </w:r>
      <w:r w:rsidR="006745CD" w:rsidRPr="006745CD">
        <w:rPr>
          <w:vertAlign w:val="superscript"/>
        </w:rPr>
        <w:t>41-43,48,117,183,223,224</w:t>
      </w:r>
      <w:r>
        <w:rPr>
          <w:vertAlign w:val="superscript"/>
        </w:rPr>
        <w:t xml:space="preserve"> </w:t>
      </w:r>
      <w:r w:rsidRPr="00F25D61">
        <w:t xml:space="preserve">which </w:t>
      </w:r>
      <w:r>
        <w:t xml:space="preserve">reported the use of </w:t>
      </w:r>
      <w:r w:rsidR="00E2003E">
        <w:t>NaCl-</w:t>
      </w:r>
      <w:r>
        <w:t xml:space="preserve"> during outbreaks outside the healthcare setting. The reported outbreaks affected between three to over 800 cases (median 157) and lasted from 14 to 22 days (median 16 days, based on four studies</w:t>
      </w:r>
      <w:r w:rsidR="006745CD" w:rsidRPr="006745CD">
        <w:rPr>
          <w:vertAlign w:val="superscript"/>
        </w:rPr>
        <w:t>41,43,48,117</w:t>
      </w:r>
      <w:r>
        <w:t xml:space="preserve">). Only three studies provided the concentration at which </w:t>
      </w:r>
      <w:r w:rsidR="00E2003E">
        <w:t>NaCl-</w:t>
      </w:r>
      <w:r>
        <w:t xml:space="preserve"> was used (1000ppm).</w:t>
      </w:r>
      <w:r w:rsidR="006745CD" w:rsidRPr="006745CD">
        <w:rPr>
          <w:vertAlign w:val="superscript"/>
        </w:rPr>
        <w:t>41,117,183</w:t>
      </w:r>
      <w:r>
        <w:t xml:space="preserve"> Five of these studies reported that the disinfection with </w:t>
      </w:r>
      <w:r w:rsidR="00E2003E">
        <w:t>NaCl-</w:t>
      </w:r>
      <w:r>
        <w:t>, together with other measures in place, contributed to the outbreak resolution.</w:t>
      </w:r>
      <w:r w:rsidR="006745CD" w:rsidRPr="006745CD">
        <w:rPr>
          <w:vertAlign w:val="superscript"/>
        </w:rPr>
        <w:t>41,43,48,223,224</w:t>
      </w:r>
      <w:r>
        <w:t xml:space="preserve"> Additionally, three of these outbreaks reported that despite initial control measures being in place, outbreaks continued until </w:t>
      </w:r>
      <w:r w:rsidR="00E2003E">
        <w:t>NaCl-</w:t>
      </w:r>
      <w:r>
        <w:t xml:space="preserve"> disinfection was introduced.</w:t>
      </w:r>
      <w:r w:rsidR="006745CD" w:rsidRPr="006745CD">
        <w:rPr>
          <w:vertAlign w:val="superscript"/>
        </w:rPr>
        <w:t>43,223,224</w:t>
      </w:r>
      <w:r>
        <w:t xml:space="preserve"> From the three reports which did not report any benefit, one</w:t>
      </w:r>
      <w:r w:rsidR="006745CD">
        <w:rPr>
          <w:vertAlign w:val="superscript"/>
        </w:rPr>
        <w:t>42</w:t>
      </w:r>
      <w:r>
        <w:t xml:space="preserve"> stated that disinfection was only undertaken to comply with national guidelines because there were no further cases nor evidence of environmental contamination and the other two</w:t>
      </w:r>
      <w:r w:rsidR="006745CD" w:rsidRPr="006745CD">
        <w:rPr>
          <w:vertAlign w:val="superscript"/>
        </w:rPr>
        <w:t>41,183</w:t>
      </w:r>
      <w:r w:rsidRPr="00BC2608">
        <w:t xml:space="preserve"> </w:t>
      </w:r>
      <w:r>
        <w:t xml:space="preserve">identified ongoing contamination of </w:t>
      </w:r>
      <w:r w:rsidR="005D2246">
        <w:t xml:space="preserve">the </w:t>
      </w:r>
      <w:r>
        <w:t>water supply. Three studies</w:t>
      </w:r>
      <w:r w:rsidR="006745CD" w:rsidRPr="006745CD">
        <w:rPr>
          <w:vertAlign w:val="superscript"/>
        </w:rPr>
        <w:t>43,48,183</w:t>
      </w:r>
      <w:r>
        <w:t xml:space="preserve"> provided data for the number of cases after introduction of the interventions (between </w:t>
      </w:r>
      <w:r w:rsidR="001128A6">
        <w:t>zero</w:t>
      </w:r>
      <w:r>
        <w:t xml:space="preserve"> and 68, median </w:t>
      </w:r>
      <w:r w:rsidR="001128A6">
        <w:t>five</w:t>
      </w:r>
      <w:r>
        <w:t>) and the duration of the outbreaks after interventions (between two and</w:t>
      </w:r>
      <w:r w:rsidR="001128A6">
        <w:t xml:space="preserve"> twelve </w:t>
      </w:r>
      <w:r>
        <w:t>days, median 5.5 days). There were two further outbreak reports</w:t>
      </w:r>
      <w:r w:rsidR="006745CD">
        <w:rPr>
          <w:vertAlign w:val="superscript"/>
        </w:rPr>
        <w:t>44,45</w:t>
      </w:r>
      <w:r>
        <w:t xml:space="preserve"> in which </w:t>
      </w:r>
      <w:r w:rsidR="00E2003E">
        <w:t>NaCl-</w:t>
      </w:r>
      <w:r>
        <w:t xml:space="preserve"> was used in combination with another disinfection agent (steam</w:t>
      </w:r>
      <w:r w:rsidR="006745CD">
        <w:rPr>
          <w:vertAlign w:val="superscript"/>
        </w:rPr>
        <w:t>44</w:t>
      </w:r>
      <w:r>
        <w:t xml:space="preserve"> and chlorine dioxide fogging</w:t>
      </w:r>
      <w:r w:rsidR="006745CD">
        <w:rPr>
          <w:vertAlign w:val="superscript"/>
        </w:rPr>
        <w:t>45</w:t>
      </w:r>
      <w:r>
        <w:t>). In both studies, the outbreak was terminated after a thorough disinfection. One of these studies reported three further cases occurring a day after disinfection (transmission most likely before)</w:t>
      </w:r>
      <w:r w:rsidR="006745CD">
        <w:rPr>
          <w:vertAlign w:val="superscript"/>
        </w:rPr>
        <w:t>44</w:t>
      </w:r>
      <w:r>
        <w:t xml:space="preserve"> and another reported no further cases.</w:t>
      </w:r>
      <w:r w:rsidR="006745CD">
        <w:rPr>
          <w:vertAlign w:val="superscript"/>
        </w:rPr>
        <w:t>45</w:t>
      </w:r>
      <w:r>
        <w:t xml:space="preserve"> </w:t>
      </w:r>
    </w:p>
    <w:p w14:paraId="10F43CA4" w14:textId="29F5762B"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w:t>
      </w:r>
      <w:r w:rsidR="00E2003E">
        <w:t>NaCl-</w:t>
      </w:r>
      <w:r>
        <w:t xml:space="preserve"> disinfection in the outbreaks outside healthcare settings. </w:t>
      </w:r>
    </w:p>
    <w:p w14:paraId="04C7263D" w14:textId="4AA07160" w:rsidR="00EC7A69" w:rsidRDefault="00EC7A69" w:rsidP="00CF7116">
      <w:pPr>
        <w:spacing w:before="240" w:line="276" w:lineRule="auto"/>
      </w:pPr>
      <w:r w:rsidRPr="0095272F">
        <w:lastRenderedPageBreak/>
        <w:t xml:space="preserve">There was </w:t>
      </w:r>
      <w:r w:rsidRPr="00DC5265">
        <w:t xml:space="preserve">inconsistent evidence </w:t>
      </w:r>
      <w:r>
        <w:t>from 13 laboratory and simulation studies</w:t>
      </w:r>
      <w:r w:rsidR="006745CD">
        <w:rPr>
          <w:vertAlign w:val="superscript"/>
        </w:rPr>
        <w:t>225,237</w:t>
      </w:r>
      <w:r>
        <w:t xml:space="preserve"> </w:t>
      </w:r>
      <w:r w:rsidRPr="00F25D61">
        <w:t xml:space="preserve">which </w:t>
      </w:r>
      <w:r>
        <w:t xml:space="preserve">reported the effect of </w:t>
      </w:r>
      <w:r w:rsidR="00E2003E">
        <w:t>NaCl-</w:t>
      </w:r>
      <w:r>
        <w:t xml:space="preserve"> disinfection on human </w:t>
      </w:r>
      <w:r w:rsidRPr="009C7AF1">
        <w:t>norovirus</w:t>
      </w:r>
      <w:r>
        <w:t xml:space="preserve"> (HNV)</w:t>
      </w:r>
      <w:r w:rsidR="006745CD">
        <w:rPr>
          <w:vertAlign w:val="superscript"/>
        </w:rPr>
        <w:t>225-229</w:t>
      </w:r>
      <w:r>
        <w:t xml:space="preserve"> or </w:t>
      </w:r>
      <w:r w:rsidR="00E2003E">
        <w:t>MNV/</w:t>
      </w:r>
      <w:r>
        <w:t xml:space="preserve">FCV </w:t>
      </w:r>
      <w:r w:rsidR="00E2003E">
        <w:t xml:space="preserve">as </w:t>
      </w:r>
      <w:r>
        <w:t>surrogates</w:t>
      </w:r>
      <w:r w:rsidR="006745CD">
        <w:rPr>
          <w:vertAlign w:val="superscript"/>
        </w:rPr>
        <w:t>230-237</w:t>
      </w:r>
      <w:r>
        <w:t xml:space="preserve"> </w:t>
      </w:r>
      <w:r w:rsidR="005D2246">
        <w:t>o</w:t>
      </w:r>
      <w:r>
        <w:t>n different types of surfaces. One study</w:t>
      </w:r>
      <w:r w:rsidR="006745CD">
        <w:rPr>
          <w:vertAlign w:val="superscript"/>
        </w:rPr>
        <w:t>225</w:t>
      </w:r>
      <w:r>
        <w:t xml:space="preserve"> reported that application of 5000ppm </w:t>
      </w:r>
      <w:r w:rsidR="00E2003E">
        <w:t>NaCl-</w:t>
      </w:r>
      <w:r>
        <w:t xml:space="preserve"> on melamine surfaces for</w:t>
      </w:r>
      <w:r w:rsidR="001128A6">
        <w:t xml:space="preserve"> ten </w:t>
      </w:r>
      <w:r>
        <w:t>seconds resulted in the majority of HNV being removed from the surface with only 7/42 (17%) surfaces remaining contaminated</w:t>
      </w:r>
      <w:r w:rsidR="005D2246">
        <w:t>,</w:t>
      </w:r>
      <w:r>
        <w:t xml:space="preserve"> while using water and detergent did not remove the virus from any surfaces (28/28, 100% contaminated). Another study</w:t>
      </w:r>
      <w:r w:rsidR="006745CD">
        <w:rPr>
          <w:vertAlign w:val="superscript"/>
        </w:rPr>
        <w:t>226</w:t>
      </w:r>
      <w:r>
        <w:t xml:space="preserve"> which used 1000ppm </w:t>
      </w:r>
      <w:r w:rsidR="00E2003E">
        <w:t>NaCl-</w:t>
      </w:r>
      <w:r>
        <w:t xml:space="preserve"> for</w:t>
      </w:r>
      <w:r w:rsidR="001128A6">
        <w:t xml:space="preserve"> ten </w:t>
      </w:r>
      <w:r>
        <w:t>minutes on vinyl or granites slabs, reported that all HNV was removed from (0/18 surfaces contaminated). Another study</w:t>
      </w:r>
      <w:r w:rsidR="006745CD">
        <w:rPr>
          <w:vertAlign w:val="superscript"/>
        </w:rPr>
        <w:t>227</w:t>
      </w:r>
      <w:r>
        <w:t xml:space="preserve"> which used samples of surfaces from airplanes reported that the application of 6500ppm </w:t>
      </w:r>
      <w:r w:rsidR="00E2003E">
        <w:t>NaCl-</w:t>
      </w:r>
      <w:r>
        <w:t xml:space="preserve"> (duration not reported) resulted in sufficient reduction (over &gt;5x log</w:t>
      </w:r>
      <w:r w:rsidRPr="009C7AF1">
        <w:rPr>
          <w:vertAlign w:val="subscript"/>
        </w:rPr>
        <w:t>10</w:t>
      </w:r>
      <w:r>
        <w:t xml:space="preserve">) of HNV copies from plastic tray and leather seat samples but not from the seatbelt sample (data not reported, only used as control). Additionally, when organic soiling (simulated gastric fluid mimicking the vomitus) was present, </w:t>
      </w:r>
      <w:r w:rsidR="00E2003E">
        <w:t>NaCl-</w:t>
      </w:r>
      <w:r>
        <w:t xml:space="preserve"> was not able to remove HNV from any of these surfaces. Similar results were obtained from another study</w:t>
      </w:r>
      <w:r w:rsidR="006745CD">
        <w:rPr>
          <w:vertAlign w:val="superscript"/>
        </w:rPr>
        <w:t>228</w:t>
      </w:r>
      <w:r>
        <w:t xml:space="preserve"> which demonstrated that 5000ppm </w:t>
      </w:r>
      <w:r w:rsidR="00E2003E">
        <w:t>NaCl-</w:t>
      </w:r>
      <w:r>
        <w:t xml:space="preserve"> applied to stainless steel coupons for </w:t>
      </w:r>
      <w:r w:rsidR="001128A6">
        <w:t>eight</w:t>
      </w:r>
      <w:r>
        <w:t xml:space="preserve"> minutes resulted in 1.4x log</w:t>
      </w:r>
      <w:r w:rsidRPr="009C7AF1">
        <w:rPr>
          <w:vertAlign w:val="subscript"/>
        </w:rPr>
        <w:t>10</w:t>
      </w:r>
      <w:r>
        <w:t xml:space="preserve"> reduction of HNV copies when organic soiling (human faeces) was present. Application of 500ppm for</w:t>
      </w:r>
      <w:r w:rsidR="001128A6">
        <w:t xml:space="preserve"> ten </w:t>
      </w:r>
      <w:r>
        <w:t>minutes resulted in less than 1x log</w:t>
      </w:r>
      <w:r w:rsidRPr="009C7AF1">
        <w:rPr>
          <w:vertAlign w:val="subscript"/>
        </w:rPr>
        <w:t>10</w:t>
      </w:r>
      <w:r>
        <w:t xml:space="preserve"> virus copies </w:t>
      </w:r>
      <w:r w:rsidR="005D2246">
        <w:t xml:space="preserve">being </w:t>
      </w:r>
      <w:r>
        <w:t xml:space="preserve">removed. Further testing of the infectious virus (MNV and FCV surrogates) also found that even at 5000ppm applied for </w:t>
      </w:r>
      <w:r w:rsidR="005D2246">
        <w:t>eight</w:t>
      </w:r>
      <w:r>
        <w:t xml:space="preserve"> and </w:t>
      </w:r>
      <w:r w:rsidR="005D2246">
        <w:t>six</w:t>
      </w:r>
      <w:r>
        <w:t xml:space="preserve"> minutes respectively</w:t>
      </w:r>
      <w:r w:rsidR="00F154F2">
        <w:t>,</w:t>
      </w:r>
      <w:r>
        <w:t xml:space="preserve"> </w:t>
      </w:r>
      <w:r w:rsidR="005D2246">
        <w:t>complete deactivation of the virus was not achieved, although the majority of the infection</w:t>
      </w:r>
      <w:r>
        <w:t xml:space="preserve"> virus was </w:t>
      </w:r>
      <w:r w:rsidR="005D2246">
        <w:t>removed</w:t>
      </w:r>
      <w:r>
        <w:t xml:space="preserve"> (&lt;4x log</w:t>
      </w:r>
      <w:r w:rsidRPr="009C7AF1">
        <w:rPr>
          <w:vertAlign w:val="subscript"/>
        </w:rPr>
        <w:t>10</w:t>
      </w:r>
      <w:r>
        <w:t xml:space="preserve"> and &lt;4.5x log</w:t>
      </w:r>
      <w:r w:rsidRPr="005D2246">
        <w:rPr>
          <w:vertAlign w:val="subscript"/>
        </w:rPr>
        <w:t>10</w:t>
      </w:r>
      <w:r>
        <w:t xml:space="preserve"> respectively). The authors concluded that even at the highest concentration, norovirus may not be sufficiently removed when organic soiling is present and suggested that the removal of organic matter precedes the disinfection. Another study</w:t>
      </w:r>
      <w:r w:rsidR="006745CD">
        <w:rPr>
          <w:vertAlign w:val="superscript"/>
        </w:rPr>
        <w:t>229</w:t>
      </w:r>
      <w:r>
        <w:t xml:space="preserve"> confirmed these findings by demonstrating that HNV (GI4) copies were only sufficiently removed (&gt;4x log</w:t>
      </w:r>
      <w:r w:rsidRPr="005D2246">
        <w:rPr>
          <w:vertAlign w:val="subscript"/>
        </w:rPr>
        <w:t>10</w:t>
      </w:r>
      <w:r>
        <w:t xml:space="preserve"> copies) when </w:t>
      </w:r>
      <w:r w:rsidR="005D2246">
        <w:t xml:space="preserve">the </w:t>
      </w:r>
      <w:r w:rsidR="00E2003E">
        <w:t>NaCl-</w:t>
      </w:r>
      <w:r>
        <w:t xml:space="preserve"> concentration reached 1000ppm and </w:t>
      </w:r>
      <w:r w:rsidR="005D2246">
        <w:t xml:space="preserve">a </w:t>
      </w:r>
      <w:r>
        <w:t xml:space="preserve">two-wiping method (removing organic matter, disinfection and removing the disinfectant) was applied. When </w:t>
      </w:r>
      <w:r w:rsidR="005D2246">
        <w:t xml:space="preserve">a </w:t>
      </w:r>
      <w:r>
        <w:t xml:space="preserve">lower </w:t>
      </w:r>
      <w:r w:rsidR="00E2003E">
        <w:t>NaCl-</w:t>
      </w:r>
      <w:r>
        <w:t xml:space="preserve"> concentration or only </w:t>
      </w:r>
      <w:r w:rsidR="005D2246">
        <w:t xml:space="preserve">a </w:t>
      </w:r>
      <w:r>
        <w:t>one-wiping method was applied, the removal of the virus was not sufficient (&lt;2x log</w:t>
      </w:r>
      <w:r w:rsidRPr="009C7AF1">
        <w:rPr>
          <w:vertAlign w:val="subscript"/>
        </w:rPr>
        <w:t>10</w:t>
      </w:r>
      <w:r>
        <w:t xml:space="preserve"> reduction). However, these results were not replicated when HNV GII4 and MNV were used: the highest concentration with </w:t>
      </w:r>
      <w:r w:rsidR="005D2246">
        <w:t>a two</w:t>
      </w:r>
      <w:r>
        <w:t>-wiping method resulted in the reduction of less than 2.5x log</w:t>
      </w:r>
      <w:r w:rsidRPr="009C7AF1">
        <w:rPr>
          <w:vertAlign w:val="subscript"/>
        </w:rPr>
        <w:t>10</w:t>
      </w:r>
      <w:r>
        <w:t xml:space="preserve"> copies </w:t>
      </w:r>
      <w:r w:rsidR="005D2246">
        <w:t>for</w:t>
      </w:r>
      <w:r>
        <w:t xml:space="preserve"> both. Other studies performed on surrogates also showed that the efficacy of </w:t>
      </w:r>
      <w:r w:rsidR="00E2003E">
        <w:t>NaCl-</w:t>
      </w:r>
      <w:r>
        <w:t xml:space="preserve"> depends on different variables. One study</w:t>
      </w:r>
      <w:r w:rsidR="006745CD">
        <w:rPr>
          <w:vertAlign w:val="superscript"/>
        </w:rPr>
        <w:t>230</w:t>
      </w:r>
      <w:r>
        <w:t xml:space="preserve"> of MNV on stainless steel coupons showed that application of 200ppm </w:t>
      </w:r>
      <w:r w:rsidR="00E2003E">
        <w:t>NaCl-</w:t>
      </w:r>
      <w:r>
        <w:t xml:space="preserve"> for </w:t>
      </w:r>
      <w:r w:rsidR="001128A6">
        <w:t>five</w:t>
      </w:r>
      <w:r>
        <w:t xml:space="preserve"> minutes was sufficient for complete elimination of the virus using a carrier method and when mechanic</w:t>
      </w:r>
      <w:r w:rsidR="005D2246">
        <w:t>al</w:t>
      </w:r>
      <w:r>
        <w:t xml:space="preserve"> wiping (simulated cleaning) was applied (&gt;7x log</w:t>
      </w:r>
      <w:r w:rsidRPr="009C7AF1">
        <w:rPr>
          <w:vertAlign w:val="subscript"/>
        </w:rPr>
        <w:t>10</w:t>
      </w:r>
      <w:r>
        <w:t xml:space="preserve"> removed) but not when </w:t>
      </w:r>
      <w:r w:rsidR="00E2003E">
        <w:t>NaCl-</w:t>
      </w:r>
      <w:r>
        <w:t xml:space="preserve"> was sprayed onto a surface (1.16x log</w:t>
      </w:r>
      <w:r w:rsidRPr="009C7AF1">
        <w:rPr>
          <w:vertAlign w:val="subscript"/>
        </w:rPr>
        <w:t>10</w:t>
      </w:r>
      <w:r>
        <w:t xml:space="preserve"> reduction for each hydraulic and electrostatic spray). Another study</w:t>
      </w:r>
      <w:r w:rsidR="006745CD">
        <w:rPr>
          <w:vertAlign w:val="superscript"/>
        </w:rPr>
        <w:t>231</w:t>
      </w:r>
      <w:r>
        <w:t xml:space="preserve"> showed that the time required for a complete inactivation of the MNV virus (defined as &gt;5x log</w:t>
      </w:r>
      <w:r w:rsidRPr="009C7AF1">
        <w:rPr>
          <w:vertAlign w:val="subscript"/>
        </w:rPr>
        <w:t>10</w:t>
      </w:r>
      <w:r>
        <w:t xml:space="preserve"> reduction) differed depending on concentration (</w:t>
      </w:r>
      <w:r w:rsidR="001128A6">
        <w:t>one</w:t>
      </w:r>
      <w:r>
        <w:t xml:space="preserve"> min</w:t>
      </w:r>
      <w:r w:rsidR="001128A6">
        <w:t>ute</w:t>
      </w:r>
      <w:r>
        <w:t xml:space="preserve"> needed for 2700ppm and</w:t>
      </w:r>
      <w:r w:rsidR="001128A6">
        <w:t xml:space="preserve"> ten </w:t>
      </w:r>
      <w:r>
        <w:t>minutes for 675ppm for all types of conditions: wet/dry and soiled/not soiled) but the same results could not be replicated in FCV when only wet/soiled conditions resulted in sufficient FCV inactivation (</w:t>
      </w:r>
      <w:r w:rsidR="001128A6">
        <w:t xml:space="preserve">five </w:t>
      </w:r>
      <w:r>
        <w:t>min</w:t>
      </w:r>
      <w:r w:rsidR="001128A6">
        <w:t>utes</w:t>
      </w:r>
      <w:r>
        <w:t xml:space="preserve"> for 2700ppm or </w:t>
      </w:r>
      <w:r w:rsidR="001128A6">
        <w:t xml:space="preserve">ten </w:t>
      </w:r>
      <w:r>
        <w:t>min</w:t>
      </w:r>
      <w:r w:rsidR="001128A6">
        <w:t>utes</w:t>
      </w:r>
      <w:r>
        <w:t xml:space="preserve"> for 1350ppm). Another study</w:t>
      </w:r>
      <w:r w:rsidR="006745CD">
        <w:rPr>
          <w:vertAlign w:val="superscript"/>
        </w:rPr>
        <w:t>236</w:t>
      </w:r>
      <w:r>
        <w:t xml:space="preserve"> showed that to achieve complete re</w:t>
      </w:r>
      <w:r w:rsidR="005D2246">
        <w:t>moval</w:t>
      </w:r>
      <w:r>
        <w:t xml:space="preserve"> of the MNV and FCV copies, more than </w:t>
      </w:r>
      <w:r w:rsidR="001128A6">
        <w:t>five</w:t>
      </w:r>
      <w:r>
        <w:t xml:space="preserve"> minutes are required for concentrations of 1000ppm and over </w:t>
      </w:r>
      <w:r w:rsidR="001128A6">
        <w:t>three</w:t>
      </w:r>
      <w:r>
        <w:t xml:space="preserve"> minutes when </w:t>
      </w:r>
      <w:r w:rsidR="00F154F2">
        <w:t xml:space="preserve">the </w:t>
      </w:r>
      <w:r>
        <w:t>concentration is 5000ppm. Two further studies showed sufficient reduction of FCV copies (&gt;5 log</w:t>
      </w:r>
      <w:r w:rsidRPr="009C7AF1">
        <w:rPr>
          <w:vertAlign w:val="subscript"/>
        </w:rPr>
        <w:t>10</w:t>
      </w:r>
      <w:r>
        <w:t xml:space="preserve">) with 1000ppm for </w:t>
      </w:r>
      <w:r w:rsidR="001128A6">
        <w:t>five</w:t>
      </w:r>
      <w:r>
        <w:t xml:space="preserve"> minutes</w:t>
      </w:r>
      <w:r w:rsidR="006745CD">
        <w:rPr>
          <w:vertAlign w:val="superscript"/>
        </w:rPr>
        <w:t>232</w:t>
      </w:r>
      <w:r>
        <w:t xml:space="preserve"> on stainless steel or 5000ppm for 30 seconds or </w:t>
      </w:r>
      <w:r w:rsidR="001128A6">
        <w:t>one</w:t>
      </w:r>
      <w:r>
        <w:t xml:space="preserve"> minute</w:t>
      </w:r>
      <w:r w:rsidR="006745CD">
        <w:rPr>
          <w:vertAlign w:val="superscript"/>
        </w:rPr>
        <w:t>233</w:t>
      </w:r>
      <w:r>
        <w:t xml:space="preserve"> exposure time on </w:t>
      </w:r>
      <w:proofErr w:type="spellStart"/>
      <w:r>
        <w:t>formica</w:t>
      </w:r>
      <w:proofErr w:type="spellEnd"/>
      <w:r>
        <w:t>, but these results were not achieved when MNV was used. Furthermore, MNV was not inactivated</w:t>
      </w:r>
      <w:r w:rsidRPr="009C7AF1">
        <w:rPr>
          <w:vertAlign w:val="superscript"/>
        </w:rPr>
        <w:t>50</w:t>
      </w:r>
      <w:r>
        <w:t xml:space="preserve"> at concentrations of 5000ppm on PVC or 1000ppm on stainless steel for 30 second exposure. However, another study</w:t>
      </w:r>
      <w:r w:rsidR="006745CD">
        <w:rPr>
          <w:vertAlign w:val="superscript"/>
        </w:rPr>
        <w:t>237</w:t>
      </w:r>
      <w:r>
        <w:t xml:space="preserve"> also demonstrated that both infectious MNV and FCV were inactivated with </w:t>
      </w:r>
      <w:r w:rsidR="00E2003E">
        <w:t>NaCl-</w:t>
      </w:r>
      <w:r>
        <w:t xml:space="preserve"> concentration of 5000ppm for </w:t>
      </w:r>
      <w:r w:rsidR="001128A6">
        <w:t>five</w:t>
      </w:r>
      <w:r>
        <w:t xml:space="preserve"> minute exposure but the data</w:t>
      </w:r>
      <w:r w:rsidR="00F154F2">
        <w:t>,</w:t>
      </w:r>
      <w:r>
        <w:t xml:space="preserve"> </w:t>
      </w:r>
      <w:r>
        <w:lastRenderedPageBreak/>
        <w:t>which looked at the reduction of viral copies</w:t>
      </w:r>
      <w:r w:rsidR="00F154F2">
        <w:t>,</w:t>
      </w:r>
      <w:r>
        <w:t xml:space="preserve"> suggested that the virus was not removed. The authors concluded that this was probably due to inactive but still intact virus remaining on the surfaces. Finally, one study</w:t>
      </w:r>
      <w:r w:rsidR="006745CD">
        <w:rPr>
          <w:vertAlign w:val="superscript"/>
        </w:rPr>
        <w:t>235</w:t>
      </w:r>
      <w:r>
        <w:t xml:space="preserve"> which simulated a removal of MNV from crockery, glasses and cutlery in the presence of organic soiling (cream cheese) demonstrated that neither manual wash nor the wash in the dishwasher, both followed by disinfection with 200ppm </w:t>
      </w:r>
      <w:r w:rsidR="00E2003E">
        <w:t>NaCl-</w:t>
      </w:r>
      <w:r>
        <w:t xml:space="preserve"> (maximum concentration for food-contact surfaces)</w:t>
      </w:r>
      <w:r w:rsidR="00F154F2">
        <w:t>,</w:t>
      </w:r>
      <w:r>
        <w:t xml:space="preserve"> were sufficient </w:t>
      </w:r>
      <w:r w:rsidR="00F154F2">
        <w:t>to</w:t>
      </w:r>
      <w:r>
        <w:t xml:space="preserve"> completely remov</w:t>
      </w:r>
      <w:r w:rsidR="00F154F2">
        <w:t>e</w:t>
      </w:r>
      <w:r>
        <w:t xml:space="preserve"> the virus. </w:t>
      </w:r>
    </w:p>
    <w:p w14:paraId="6712B0A6" w14:textId="77777777" w:rsidR="00EC7A69" w:rsidRPr="00906DF5" w:rsidRDefault="00EC7A69" w:rsidP="00CF7116">
      <w:pPr>
        <w:pStyle w:val="Heading3"/>
        <w:spacing w:line="276" w:lineRule="auto"/>
      </w:pPr>
      <w:r w:rsidRPr="00906DF5">
        <w:t>Hypochlorous acid and other chlorine-releasing agents</w:t>
      </w:r>
    </w:p>
    <w:p w14:paraId="530FBCE0" w14:textId="67A2777D" w:rsidR="00EC7A69" w:rsidRDefault="00EC7A69" w:rsidP="00CF7116">
      <w:pPr>
        <w:spacing w:before="240" w:line="276" w:lineRule="auto"/>
      </w:pPr>
      <w:bookmarkStart w:id="19" w:name="_Hlk99913575"/>
      <w:r w:rsidRPr="0095272F">
        <w:t xml:space="preserve">There was </w:t>
      </w:r>
      <w:bookmarkStart w:id="20" w:name="_Hlk102461561"/>
      <w:r w:rsidRPr="00DC5265">
        <w:t>very weak evidence</w:t>
      </w:r>
      <w:r>
        <w:t xml:space="preserve"> </w:t>
      </w:r>
      <w:bookmarkEnd w:id="20"/>
      <w:r w:rsidRPr="0095272F">
        <w:t xml:space="preserve">of </w:t>
      </w:r>
      <w:r>
        <w:t>benefit from two outbreak studies,</w:t>
      </w:r>
      <w:r w:rsidR="00B50FD6" w:rsidRPr="00B50FD6">
        <w:rPr>
          <w:vertAlign w:val="superscript"/>
        </w:rPr>
        <w:t>222,238</w:t>
      </w:r>
      <w:r>
        <w:t xml:space="preserve"> </w:t>
      </w:r>
      <w:r w:rsidRPr="00F25D61">
        <w:t xml:space="preserve">which </w:t>
      </w:r>
      <w:r>
        <w:t>us</w:t>
      </w:r>
      <w:r w:rsidR="005D2246">
        <w:t>ed</w:t>
      </w:r>
      <w:r>
        <w:t xml:space="preserve"> hypochlorous acid (concentration not reported) in combination with </w:t>
      </w:r>
      <w:r w:rsidR="00E2003E">
        <w:t>NaCl-</w:t>
      </w:r>
      <w:r w:rsidRPr="001D2F8F">
        <w:rPr>
          <w:vertAlign w:val="superscript"/>
        </w:rPr>
        <w:t>2</w:t>
      </w:r>
      <w:r w:rsidR="00B50FD6">
        <w:rPr>
          <w:vertAlign w:val="superscript"/>
        </w:rPr>
        <w:t>22</w:t>
      </w:r>
      <w:r>
        <w:t xml:space="preserve"> </w:t>
      </w:r>
      <w:bookmarkEnd w:id="19"/>
      <w:r>
        <w:t>or alone</w:t>
      </w:r>
      <w:r w:rsidR="00B50FD6">
        <w:rPr>
          <w:vertAlign w:val="superscript"/>
        </w:rPr>
        <w:t>238</w:t>
      </w:r>
      <w:r>
        <w:t xml:space="preserve"> during outbreaks in healthcare settings. Both studies reported that hypochlorous acid, in combination with other interventions, resulted in resolution of an outbreak. One study</w:t>
      </w:r>
      <w:r w:rsidRPr="001D2F8F">
        <w:rPr>
          <w:vertAlign w:val="superscript"/>
        </w:rPr>
        <w:t>2</w:t>
      </w:r>
      <w:r w:rsidR="00B50FD6">
        <w:rPr>
          <w:vertAlign w:val="superscript"/>
        </w:rPr>
        <w:t>22</w:t>
      </w:r>
      <w:r>
        <w:t xml:space="preserve"> reported a total of 59 cases which occurred before hypochlorous acid was applied and no further cases occurred, and the outbreak was contained within </w:t>
      </w:r>
      <w:r w:rsidR="00C870B1">
        <w:t>seven</w:t>
      </w:r>
      <w:r>
        <w:t xml:space="preserve"> days in one facility and </w:t>
      </w:r>
      <w:r w:rsidR="00C870B1">
        <w:t>four</w:t>
      </w:r>
      <w:r>
        <w:t xml:space="preserve"> days in another. The second study reported that disinfection with hypochlorous acid was implemented in the second wave of the outbreak (105 cases) and while it took further </w:t>
      </w:r>
      <w:r w:rsidR="00C870B1">
        <w:t>ten</w:t>
      </w:r>
      <w:r>
        <w:t xml:space="preserve"> days to control an outbreak, the incidence of new cases decreased following the disinfection. </w:t>
      </w:r>
    </w:p>
    <w:p w14:paraId="1DCDBEC9" w14:textId="49056AD5"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disinfection with hypochlorous acid in any settings. </w:t>
      </w:r>
    </w:p>
    <w:p w14:paraId="791CDD96" w14:textId="4DE5E296" w:rsidR="00EC7A69" w:rsidRDefault="00EC7A69" w:rsidP="00CF7116">
      <w:pPr>
        <w:spacing w:before="240" w:line="276" w:lineRule="auto"/>
      </w:pPr>
      <w:r w:rsidRPr="0095272F">
        <w:t xml:space="preserve">There was </w:t>
      </w:r>
      <w:r w:rsidRPr="00DC5265">
        <w:t>very weak evidence</w:t>
      </w:r>
      <w:r>
        <w:t xml:space="preserve"> from one laboratory study,</w:t>
      </w:r>
      <w:r w:rsidR="00B50FD6">
        <w:rPr>
          <w:vertAlign w:val="superscript"/>
        </w:rPr>
        <w:t>239</w:t>
      </w:r>
      <w:r>
        <w:t xml:space="preserve"> </w:t>
      </w:r>
      <w:r w:rsidRPr="00F25D61">
        <w:t xml:space="preserve">which </w:t>
      </w:r>
      <w:r>
        <w:t>evaluated the effect of hypochlorous acid on stainless steel and ceramic surfaces. The study used HNV and evaluated the effectiveness by establishing the amount of time required to remove 3x log</w:t>
      </w:r>
      <w:r w:rsidRPr="001D2F8F">
        <w:rPr>
          <w:vertAlign w:val="subscript"/>
        </w:rPr>
        <w:t>10</w:t>
      </w:r>
      <w:r>
        <w:t xml:space="preserve"> (99.9%) of the virus from the surfaces. The disinfectant was delivered via </w:t>
      </w:r>
      <w:r w:rsidR="00F154F2">
        <w:t xml:space="preserve">a </w:t>
      </w:r>
      <w:r>
        <w:t xml:space="preserve">fogging system and while only </w:t>
      </w:r>
      <w:r w:rsidR="001128A6">
        <w:t>one</w:t>
      </w:r>
      <w:r>
        <w:t xml:space="preserve"> minute was required to remove the virus at the concentration of 188ppm, </w:t>
      </w:r>
      <w:r w:rsidR="00C870B1">
        <w:t>ten</w:t>
      </w:r>
      <w:r>
        <w:t xml:space="preserve"> minutes were required to remove it at concentrations </w:t>
      </w:r>
      <w:r w:rsidR="005D2246">
        <w:t xml:space="preserve">of </w:t>
      </w:r>
      <w:r>
        <w:t xml:space="preserve">38ppm or lower. </w:t>
      </w:r>
    </w:p>
    <w:p w14:paraId="636DC903" w14:textId="07D73B04"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effectiveness of other chlorine-releasing agents in outbreak situations in any settings. </w:t>
      </w:r>
    </w:p>
    <w:p w14:paraId="05C56C4F" w14:textId="797246CE"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other chlorine-releasing agents in any settings. </w:t>
      </w:r>
    </w:p>
    <w:p w14:paraId="01D8BB9D" w14:textId="5832B079" w:rsidR="00EC7A69" w:rsidRDefault="00EC7A69" w:rsidP="00CF7116">
      <w:pPr>
        <w:spacing w:before="240" w:line="276" w:lineRule="auto"/>
      </w:pPr>
      <w:r w:rsidRPr="0095272F">
        <w:t xml:space="preserve">There was </w:t>
      </w:r>
      <w:r w:rsidRPr="00DC5265">
        <w:t>very weak evidence</w:t>
      </w:r>
      <w:r>
        <w:t xml:space="preserve"> </w:t>
      </w:r>
      <w:r w:rsidRPr="00045DA0">
        <w:t>from five laboratory studies,</w:t>
      </w:r>
      <w:r w:rsidR="00B50FD6" w:rsidRPr="00B50FD6">
        <w:rPr>
          <w:vertAlign w:val="superscript"/>
        </w:rPr>
        <w:t>235,240-243</w:t>
      </w:r>
      <w:r w:rsidRPr="00045DA0">
        <w:t xml:space="preserve"> which evaluated the effect of other chlorine-releasing agents on HNV</w:t>
      </w:r>
      <w:r w:rsidR="00B50FD6">
        <w:rPr>
          <w:vertAlign w:val="superscript"/>
        </w:rPr>
        <w:t>240,241</w:t>
      </w:r>
      <w:r w:rsidRPr="00045DA0">
        <w:t xml:space="preserve"> or its surrogates.</w:t>
      </w:r>
      <w:r w:rsidR="00B50FD6" w:rsidRPr="00B50FD6">
        <w:rPr>
          <w:vertAlign w:val="superscript"/>
        </w:rPr>
        <w:t>235,241-243</w:t>
      </w:r>
      <w:r>
        <w:t xml:space="preserve"> Four of these studies</w:t>
      </w:r>
      <w:r w:rsidR="00B50FD6" w:rsidRPr="00B50FD6">
        <w:rPr>
          <w:vertAlign w:val="superscript"/>
        </w:rPr>
        <w:t>235,240,242,243</w:t>
      </w:r>
      <w:r>
        <w:t xml:space="preserve"> used the technology of electrochemically activated (ECO) water. The water wa</w:t>
      </w:r>
      <w:r w:rsidRPr="00357EA5">
        <w:t>s generated by electrolysis of solution containing NaCl and HCl. This produce</w:t>
      </w:r>
      <w:r>
        <w:t>d</w:t>
      </w:r>
      <w:r w:rsidRPr="00357EA5">
        <w:t xml:space="preserve"> alkaline and acidic water with free chlorine</w:t>
      </w:r>
      <w:r>
        <w:t xml:space="preserve"> and n</w:t>
      </w:r>
      <w:r w:rsidRPr="00357EA5">
        <w:t xml:space="preserve">eutral </w:t>
      </w:r>
      <w:r>
        <w:t xml:space="preserve">pH </w:t>
      </w:r>
      <w:r w:rsidRPr="00357EA5">
        <w:t xml:space="preserve">water </w:t>
      </w:r>
      <w:r>
        <w:t>was</w:t>
      </w:r>
      <w:r w:rsidRPr="00357EA5">
        <w:t xml:space="preserve"> obtained by combining the two.</w:t>
      </w:r>
      <w:r>
        <w:t xml:space="preserve"> One study</w:t>
      </w:r>
      <w:r w:rsidR="00B50FD6" w:rsidRPr="00B50FD6">
        <w:rPr>
          <w:vertAlign w:val="superscript"/>
        </w:rPr>
        <w:t>240</w:t>
      </w:r>
      <w:r>
        <w:t xml:space="preserve"> showed that up to</w:t>
      </w:r>
      <w:r w:rsidR="001128A6">
        <w:t xml:space="preserve"> ten </w:t>
      </w:r>
      <w:r>
        <w:t>minutes (concentration of 33.22 free chlorine, pH 5.12) was required to remove HNV (GI and GII) by 3x log</w:t>
      </w:r>
      <w:r w:rsidRPr="00357EA5">
        <w:rPr>
          <w:vertAlign w:val="subscript"/>
        </w:rPr>
        <w:t>10</w:t>
      </w:r>
      <w:r>
        <w:t>. After 30 minute</w:t>
      </w:r>
      <w:r w:rsidR="005D2246">
        <w:t>s</w:t>
      </w:r>
      <w:r>
        <w:t xml:space="preserve"> of exposure, HNV was sufficiently removed (&gt;5x log</w:t>
      </w:r>
      <w:r w:rsidRPr="00357EA5">
        <w:rPr>
          <w:vertAlign w:val="subscript"/>
        </w:rPr>
        <w:t>10</w:t>
      </w:r>
      <w:r>
        <w:t>) from stainless steel surfaces but not from ceramic, glass and PVC surfaces. Another study</w:t>
      </w:r>
      <w:r w:rsidR="00B50FD6">
        <w:rPr>
          <w:vertAlign w:val="superscript"/>
        </w:rPr>
        <w:t>242</w:t>
      </w:r>
      <w:r>
        <w:t xml:space="preserve"> showed complete inactivation of FCV within </w:t>
      </w:r>
      <w:r w:rsidR="00C870B1">
        <w:t>one</w:t>
      </w:r>
      <w:r>
        <w:t xml:space="preserve"> minute of exposure on plastic coupons with free chlorine concentrations of 150ppm or 500ppm at neutral </w:t>
      </w:r>
      <w:proofErr w:type="spellStart"/>
      <w:r>
        <w:t>pH.</w:t>
      </w:r>
      <w:proofErr w:type="spellEnd"/>
      <w:r>
        <w:t xml:space="preserve"> One study,</w:t>
      </w:r>
      <w:r w:rsidR="00B50FD6">
        <w:rPr>
          <w:vertAlign w:val="superscript"/>
        </w:rPr>
        <w:t>243</w:t>
      </w:r>
      <w:r>
        <w:t xml:space="preserve"> which used MNV on stainless steel coupons, reported that ECO water may be effective and that the availability of free chlorine and acidity may positively affect the disinfection. However, another study</w:t>
      </w:r>
      <w:r w:rsidR="00B50FD6">
        <w:rPr>
          <w:vertAlign w:val="superscript"/>
        </w:rPr>
        <w:t>235</w:t>
      </w:r>
      <w:r>
        <w:t xml:space="preserve"> which </w:t>
      </w:r>
      <w:r>
        <w:lastRenderedPageBreak/>
        <w:t xml:space="preserve">assessed the effectiveness of ECO and </w:t>
      </w:r>
      <w:r w:rsidR="00E2003E">
        <w:t>NaCl-</w:t>
      </w:r>
      <w:r>
        <w:t xml:space="preserve"> for deactivation of MNV from stainless steel and PVC surfaces, reported that when the concentration of free available chlorine was the same, </w:t>
      </w:r>
      <w:r w:rsidR="00E2003E">
        <w:t>NaCl-</w:t>
      </w:r>
      <w:r>
        <w:t xml:space="preserve"> was superior to ECO. Finally, one laboratory study</w:t>
      </w:r>
      <w:r w:rsidR="00B50FD6">
        <w:rPr>
          <w:vertAlign w:val="superscript"/>
        </w:rPr>
        <w:t>241</w:t>
      </w:r>
      <w:r>
        <w:t xml:space="preserve"> assessed the effectiveness of fogged chlorine dioxide on removal of HNV GI and GII and inactivation of MNV. The authors reported that chlorine dioxide at concentration of 12.4% was not successful in removal of HNV nor in inactivation of MNV. Increasing the concentration to 15.9% resulted in even less removal and deactivation of the viruses. </w:t>
      </w:r>
    </w:p>
    <w:p w14:paraId="72A23040" w14:textId="77777777" w:rsidR="00EC7A69" w:rsidRPr="00906DF5" w:rsidRDefault="00EC7A69" w:rsidP="00CF7116">
      <w:pPr>
        <w:pStyle w:val="Heading3"/>
        <w:spacing w:line="276" w:lineRule="auto"/>
      </w:pPr>
      <w:r>
        <w:t>Quaternary ammonium compounds (QAC)</w:t>
      </w:r>
    </w:p>
    <w:p w14:paraId="53220CA0" w14:textId="3F17C560" w:rsidR="00EC7A69" w:rsidRDefault="00EC7A69" w:rsidP="00CF7116">
      <w:pPr>
        <w:spacing w:before="240" w:line="276" w:lineRule="auto"/>
      </w:pPr>
      <w:r w:rsidRPr="0095272F">
        <w:t xml:space="preserve">There was </w:t>
      </w:r>
      <w:r w:rsidRPr="00DC5265">
        <w:t xml:space="preserve">weak </w:t>
      </w:r>
      <w:r w:rsidR="00F154F2">
        <w:t xml:space="preserve">very </w:t>
      </w:r>
      <w:r w:rsidRPr="00DC5265">
        <w:t>evidence</w:t>
      </w:r>
      <w:r>
        <w:t xml:space="preserve"> from one outbreak study,</w:t>
      </w:r>
      <w:r w:rsidR="00B50FD6">
        <w:rPr>
          <w:vertAlign w:val="superscript"/>
        </w:rPr>
        <w:t>62</w:t>
      </w:r>
      <w:r>
        <w:t xml:space="preserve"> </w:t>
      </w:r>
      <w:r w:rsidRPr="00F25D61">
        <w:t xml:space="preserve">which </w:t>
      </w:r>
      <w:r>
        <w:t xml:space="preserve">used </w:t>
      </w:r>
      <w:r w:rsidR="00F154F2">
        <w:t xml:space="preserve">a </w:t>
      </w:r>
      <w:r>
        <w:t>QAC during outbreak</w:t>
      </w:r>
      <w:r w:rsidR="00F154F2">
        <w:t>s</w:t>
      </w:r>
      <w:r>
        <w:t xml:space="preserve"> in a healthcare setting. The authors reported that a QAC (concentration not reported) was routinely used as a disinfectant in the unit when outbreak occurred. The outbreak lasted 38 days and involved 13 cases. Disinfection continued using the same disinfectant and other interventions were introduced. It was reported that the outbreak ended</w:t>
      </w:r>
      <w:r w:rsidR="001128A6">
        <w:t xml:space="preserve"> eleven </w:t>
      </w:r>
      <w:r>
        <w:t xml:space="preserve">days after other interventions were implemented and the authors did not comment on whether QAC was effective or not. </w:t>
      </w:r>
    </w:p>
    <w:p w14:paraId="5C4B2CF7" w14:textId="6AE1AC0F" w:rsidR="00EC7A69" w:rsidRDefault="00EC7A69" w:rsidP="00CF7116">
      <w:pPr>
        <w:spacing w:before="240" w:line="276" w:lineRule="auto"/>
      </w:pPr>
      <w:r w:rsidRPr="0095272F">
        <w:t xml:space="preserve">There was </w:t>
      </w:r>
      <w:r w:rsidRPr="00DC5265">
        <w:t>weak evidence</w:t>
      </w:r>
      <w:r>
        <w:t xml:space="preserve"> from two outbreak studies,</w:t>
      </w:r>
      <w:r w:rsidR="00B50FD6" w:rsidRPr="00B50FD6">
        <w:rPr>
          <w:vertAlign w:val="superscript"/>
        </w:rPr>
        <w:t>43,223</w:t>
      </w:r>
      <w:r>
        <w:t xml:space="preserve"> </w:t>
      </w:r>
      <w:r w:rsidRPr="00F25D61">
        <w:t xml:space="preserve">which </w:t>
      </w:r>
      <w:r>
        <w:t>used QAC during outbreak outside healthcare settings. Both studies reported that QAC w</w:t>
      </w:r>
      <w:r w:rsidR="005D2246">
        <w:t>ere</w:t>
      </w:r>
      <w:r>
        <w:t xml:space="preserve"> initially used but that cases continued</w:t>
      </w:r>
      <w:r w:rsidR="005D2246">
        <w:t>,</w:t>
      </w:r>
      <w:r>
        <w:t xml:space="preserve"> and further interventions included switching to </w:t>
      </w:r>
      <w:r w:rsidR="00E2003E">
        <w:t>NaCl-</w:t>
      </w:r>
      <w:r>
        <w:t xml:space="preserve">. Both studies also reported that switching to </w:t>
      </w:r>
      <w:r w:rsidR="00E2003E">
        <w:t>NaCl-</w:t>
      </w:r>
      <w:r>
        <w:t xml:space="preserve"> resulted in resolution of an outbreak with one reporting no further cases</w:t>
      </w:r>
      <w:r w:rsidR="00B50FD6">
        <w:rPr>
          <w:vertAlign w:val="superscript"/>
        </w:rPr>
        <w:t>223</w:t>
      </w:r>
      <w:r>
        <w:t xml:space="preserve"> and another reporting additional five which occurred within two days after the disinfection.</w:t>
      </w:r>
      <w:r w:rsidR="00B50FD6">
        <w:rPr>
          <w:vertAlign w:val="superscript"/>
        </w:rPr>
        <w:t>43</w:t>
      </w:r>
      <w:r>
        <w:t xml:space="preserve"> </w:t>
      </w:r>
    </w:p>
    <w:p w14:paraId="4B08ED93" w14:textId="6F5CCBEE"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disinfection with QAC in any settings. </w:t>
      </w:r>
    </w:p>
    <w:p w14:paraId="308F052F" w14:textId="7BF8F2D8" w:rsidR="00EC7A69" w:rsidRDefault="00EC7A69" w:rsidP="00CF7116">
      <w:pPr>
        <w:spacing w:before="240" w:line="276" w:lineRule="auto"/>
      </w:pPr>
      <w:r w:rsidRPr="0095272F">
        <w:t xml:space="preserve">There was </w:t>
      </w:r>
      <w:r w:rsidRPr="00DC5265">
        <w:t>weak evidence</w:t>
      </w:r>
      <w:r>
        <w:t xml:space="preserve"> of no benefit from five laboratory studies,</w:t>
      </w:r>
      <w:r w:rsidR="00B50FD6" w:rsidRPr="00B50FD6">
        <w:rPr>
          <w:vertAlign w:val="superscript"/>
        </w:rPr>
        <w:t>227,234,244-246</w:t>
      </w:r>
      <w:r>
        <w:t xml:space="preserve"> </w:t>
      </w:r>
      <w:r w:rsidRPr="00F25D61">
        <w:t xml:space="preserve">which </w:t>
      </w:r>
      <w:r>
        <w:t xml:space="preserve">evaluated the effect of QAC on different types of surfaces using MNV and FCV surrogates. None of the studies reported any benefit of using QAC, regardless of the type of virus, type of surface, concentration used or whether organic soiling was present. </w:t>
      </w:r>
    </w:p>
    <w:p w14:paraId="79C69B4F" w14:textId="77777777" w:rsidR="00EC7A69" w:rsidRDefault="00EC7A69" w:rsidP="00CF7116">
      <w:pPr>
        <w:spacing w:before="240" w:line="276" w:lineRule="auto"/>
      </w:pPr>
    </w:p>
    <w:p w14:paraId="53413197" w14:textId="77777777" w:rsidR="00EC7A69" w:rsidRPr="00906DF5" w:rsidRDefault="00EC7A69" w:rsidP="00CF7116">
      <w:pPr>
        <w:pStyle w:val="Heading3"/>
        <w:spacing w:line="276" w:lineRule="auto"/>
      </w:pPr>
      <w:r>
        <w:t>Alcohols</w:t>
      </w:r>
    </w:p>
    <w:p w14:paraId="07184C7E" w14:textId="09591F7E" w:rsidR="00EC7A69" w:rsidRDefault="00EC7A69" w:rsidP="00CF7116">
      <w:pPr>
        <w:spacing w:before="240" w:line="276" w:lineRule="auto"/>
      </w:pPr>
      <w:r w:rsidRPr="0095272F">
        <w:t xml:space="preserve">There was </w:t>
      </w:r>
      <w:r w:rsidR="00F154F2">
        <w:t xml:space="preserve">very </w:t>
      </w:r>
      <w:r w:rsidRPr="00DC5265">
        <w:t>weak evidence</w:t>
      </w:r>
      <w:r>
        <w:t xml:space="preserve"> from one outbreak study,</w:t>
      </w:r>
      <w:r w:rsidR="00F0201B">
        <w:rPr>
          <w:vertAlign w:val="superscript"/>
        </w:rPr>
        <w:t>31</w:t>
      </w:r>
      <w:r>
        <w:t xml:space="preserve"> </w:t>
      </w:r>
      <w:r w:rsidRPr="00F25D61">
        <w:t xml:space="preserve">which </w:t>
      </w:r>
      <w:r>
        <w:t xml:space="preserve">used alcohol wipes (no details reported) in combination with </w:t>
      </w:r>
      <w:r w:rsidR="00E2003E">
        <w:t>NaCl-</w:t>
      </w:r>
      <w:r>
        <w:t xml:space="preserve"> during an outbreak in healthcare setting. These were introduced in response to a continuing outbreak which was not controlled with initial interventions (there was no mention of disinfection). The authors reported that cases started to decline a couple of days later and that the outbreak was contained within</w:t>
      </w:r>
      <w:r w:rsidR="001128A6">
        <w:t xml:space="preserve"> eleven </w:t>
      </w:r>
      <w:r>
        <w:t xml:space="preserve">days following disinfection. </w:t>
      </w:r>
    </w:p>
    <w:p w14:paraId="4A3B410F" w14:textId="18AE3468"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 of disinfection with alcohols in outbreaks outside the healthcare settings. </w:t>
      </w:r>
    </w:p>
    <w:p w14:paraId="5E3BBAA2" w14:textId="70FC2788"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disinfection with alcohols in any settings. </w:t>
      </w:r>
    </w:p>
    <w:p w14:paraId="3473BF0E" w14:textId="1EE97A59" w:rsidR="00EC7A69" w:rsidRDefault="00EC7A69" w:rsidP="00CF7116">
      <w:pPr>
        <w:spacing w:before="240" w:line="276" w:lineRule="auto"/>
      </w:pPr>
      <w:r w:rsidRPr="0095272F">
        <w:t xml:space="preserve">There was </w:t>
      </w:r>
      <w:r w:rsidRPr="00DC5265">
        <w:t>weak evidence</w:t>
      </w:r>
      <w:r>
        <w:t xml:space="preserve"> of no effect from five laboratory studies,</w:t>
      </w:r>
      <w:r w:rsidR="00F0201B" w:rsidRPr="00F0201B">
        <w:rPr>
          <w:vertAlign w:val="superscript"/>
        </w:rPr>
        <w:t>233,244,245,247,248</w:t>
      </w:r>
      <w:r>
        <w:t xml:space="preserve"> </w:t>
      </w:r>
      <w:r w:rsidRPr="00F25D61">
        <w:t xml:space="preserve">which </w:t>
      </w:r>
      <w:r>
        <w:t xml:space="preserve">evaluated the effect of disinfection with alcohols on MNV and FCV surrogates on different types of surfaces. </w:t>
      </w:r>
      <w:r>
        <w:lastRenderedPageBreak/>
        <w:t>One study,</w:t>
      </w:r>
      <w:r w:rsidR="00F0201B">
        <w:rPr>
          <w:vertAlign w:val="superscript"/>
        </w:rPr>
        <w:t>247</w:t>
      </w:r>
      <w:r>
        <w:t xml:space="preserve"> which reported the effectiveness as concentration of the disinfectant required to </w:t>
      </w:r>
      <w:r w:rsidRPr="00EB6AC5">
        <w:t>achieve at least 4</w:t>
      </w:r>
      <w:r>
        <w:t xml:space="preserve">x </w:t>
      </w:r>
      <w:r w:rsidRPr="00EB6AC5">
        <w:t>log</w:t>
      </w:r>
      <w:r w:rsidRPr="00EB6AC5">
        <w:rPr>
          <w:vertAlign w:val="subscript"/>
        </w:rPr>
        <w:t>10</w:t>
      </w:r>
      <w:r w:rsidRPr="00EB6AC5">
        <w:t xml:space="preserve"> reduction of infective titre within </w:t>
      </w:r>
      <w:r w:rsidR="001128A6">
        <w:t>five</w:t>
      </w:r>
      <w:r>
        <w:t xml:space="preserve"> </w:t>
      </w:r>
      <w:r w:rsidRPr="00EB6AC5">
        <w:t>min</w:t>
      </w:r>
      <w:r>
        <w:t xml:space="preserve">utes reported that this was achieved with 60% </w:t>
      </w:r>
      <w:r w:rsidR="00E2003E">
        <w:t>ETA</w:t>
      </w:r>
      <w:r>
        <w:t xml:space="preserve"> and 40% 1-</w:t>
      </w:r>
      <w:r w:rsidR="00E2003E">
        <w:t>IPA</w:t>
      </w:r>
      <w:r>
        <w:t xml:space="preserve"> for dirty conditions (50% and 30% respectively for clean conditions) but not achieved for 2-</w:t>
      </w:r>
      <w:r w:rsidR="00E2003E">
        <w:t>IPA</w:t>
      </w:r>
      <w:r>
        <w:t xml:space="preserve">. In contrast, the remaining studies did not report any effect, neither with 70% </w:t>
      </w:r>
      <w:r w:rsidR="00E2003E">
        <w:t>ETA</w:t>
      </w:r>
      <w:r w:rsidR="00F0201B">
        <w:rPr>
          <w:vertAlign w:val="superscript"/>
        </w:rPr>
        <w:t>233</w:t>
      </w:r>
      <w:r>
        <w:t xml:space="preserve"> nor with 58-70% isopropyl alcohol.</w:t>
      </w:r>
      <w:r w:rsidR="00F0201B">
        <w:rPr>
          <w:vertAlign w:val="superscript"/>
        </w:rPr>
        <w:t>244,245,248</w:t>
      </w:r>
      <w:r>
        <w:t xml:space="preserve"> </w:t>
      </w:r>
    </w:p>
    <w:p w14:paraId="4A09C6CE" w14:textId="77777777" w:rsidR="00EC7A69" w:rsidRPr="00906DF5" w:rsidRDefault="00EC7A69" w:rsidP="00CF7116">
      <w:pPr>
        <w:pStyle w:val="Heading3"/>
        <w:spacing w:line="276" w:lineRule="auto"/>
      </w:pPr>
      <w:r>
        <w:t>Phenolic disinfectants</w:t>
      </w:r>
    </w:p>
    <w:p w14:paraId="741CB283" w14:textId="413A8C82" w:rsidR="00EC7A69" w:rsidRDefault="00EC7A69" w:rsidP="00CF7116">
      <w:pPr>
        <w:spacing w:before="240" w:line="276" w:lineRule="auto"/>
      </w:pPr>
      <w:r w:rsidRPr="0095272F">
        <w:t xml:space="preserve">There was </w:t>
      </w:r>
      <w:r w:rsidRPr="00DC5265">
        <w:t>very weak evidence</w:t>
      </w:r>
      <w:r>
        <w:t xml:space="preserve"> from one outbreak study,</w:t>
      </w:r>
      <w:r w:rsidR="00F0201B">
        <w:rPr>
          <w:vertAlign w:val="superscript"/>
        </w:rPr>
        <w:t>33</w:t>
      </w:r>
      <w:r>
        <w:t xml:space="preserve"> </w:t>
      </w:r>
      <w:r w:rsidRPr="00F25D61">
        <w:t xml:space="preserve">which </w:t>
      </w:r>
      <w:r>
        <w:t xml:space="preserve">used </w:t>
      </w:r>
      <w:r w:rsidR="005D2246">
        <w:t xml:space="preserve">a </w:t>
      </w:r>
      <w:r>
        <w:t xml:space="preserve">phenolic disinfectant, together with other interventions, during an outbreak in </w:t>
      </w:r>
      <w:r w:rsidR="005D2246">
        <w:t xml:space="preserve">a </w:t>
      </w:r>
      <w:r>
        <w:t xml:space="preserve">healthcare setting. The study reported that the outbreak lasted </w:t>
      </w:r>
      <w:r w:rsidR="005D2246">
        <w:t xml:space="preserve">for </w:t>
      </w:r>
      <w:r>
        <w:t>41</w:t>
      </w:r>
      <w:r w:rsidR="00C870B1">
        <w:t xml:space="preserve"> </w:t>
      </w:r>
      <w:r>
        <w:t>days and affected 211 cases. One type of phenolic disinfectant (</w:t>
      </w:r>
      <w:proofErr w:type="spellStart"/>
      <w:r>
        <w:t>Wex</w:t>
      </w:r>
      <w:proofErr w:type="spellEnd"/>
      <w:r>
        <w:t>-Cide®) was used as one of the initial interventions</w:t>
      </w:r>
      <w:r w:rsidR="005D2246">
        <w:t>,</w:t>
      </w:r>
      <w:r>
        <w:t xml:space="preserve"> but since the cases continued further interventions were introduced and the disinfection </w:t>
      </w:r>
      <w:r w:rsidR="005D2246">
        <w:t xml:space="preserve">was </w:t>
      </w:r>
      <w:r>
        <w:t>switched to another phenolic compound (</w:t>
      </w:r>
      <w:proofErr w:type="spellStart"/>
      <w:r>
        <w:t>Microbac</w:t>
      </w:r>
      <w:proofErr w:type="spellEnd"/>
      <w:r>
        <w:t xml:space="preserve"> II®) and the unit was closed to admissions. After these enhanced interventions, there was only one further case and the outbreak ended two days later. </w:t>
      </w:r>
    </w:p>
    <w:p w14:paraId="0BF93817" w14:textId="5DCF366F" w:rsidR="00EC7A69" w:rsidRDefault="00EC7A69" w:rsidP="00CF7116">
      <w:pPr>
        <w:spacing w:before="240" w:line="276" w:lineRule="auto"/>
      </w:pPr>
      <w:r w:rsidRPr="0095272F">
        <w:t xml:space="preserve">There was </w:t>
      </w:r>
      <w:r w:rsidRPr="00DC5265">
        <w:t>very weak evidence</w:t>
      </w:r>
      <w:r>
        <w:t xml:space="preserve"> from one outbreak study,</w:t>
      </w:r>
      <w:r w:rsidR="00F0201B">
        <w:rPr>
          <w:vertAlign w:val="superscript"/>
        </w:rPr>
        <w:t>160</w:t>
      </w:r>
      <w:r>
        <w:t xml:space="preserve"> </w:t>
      </w:r>
      <w:r w:rsidRPr="00F25D61">
        <w:t xml:space="preserve">which </w:t>
      </w:r>
      <w:r>
        <w:t xml:space="preserve">used </w:t>
      </w:r>
      <w:r w:rsidR="005D2246">
        <w:t xml:space="preserve">a </w:t>
      </w:r>
      <w:r>
        <w:t xml:space="preserve">phenolic disinfectant, together with other interventions, during an outbreak outside the healthcare setting. The authors reported that 0.2% </w:t>
      </w:r>
      <w:proofErr w:type="spellStart"/>
      <w:r w:rsidRPr="00025774">
        <w:t>parachlorometaxylenol</w:t>
      </w:r>
      <w:proofErr w:type="spellEnd"/>
      <w:r>
        <w:t xml:space="preserve"> (</w:t>
      </w:r>
      <w:proofErr w:type="spellStart"/>
      <w:r>
        <w:t>EnviroTru</w:t>
      </w:r>
      <w:proofErr w:type="spellEnd"/>
      <w:r>
        <w:t xml:space="preserve">®,in combination with steam cleaning of soft furnishing and replacing a portion of a carpet) was used to disinfect </w:t>
      </w:r>
      <w:r w:rsidR="005D2246">
        <w:t>an</w:t>
      </w:r>
      <w:r>
        <w:t xml:space="preserve"> area on </w:t>
      </w:r>
      <w:r w:rsidR="005D2246">
        <w:t>an</w:t>
      </w:r>
      <w:r>
        <w:t xml:space="preserve"> airplane where a vomiting accident occurred. No further cases were reported but the authors also reported that no cases occurred shortly before disinfection, thus it is possible that norovirus was removed before disinfection took place. </w:t>
      </w:r>
    </w:p>
    <w:p w14:paraId="72E97E6E" w14:textId="62E8C8FC"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disinfection with phenolic disinfectants in any settings. </w:t>
      </w:r>
    </w:p>
    <w:p w14:paraId="02A42505" w14:textId="4A6E546F" w:rsidR="00EC7A69" w:rsidRDefault="00EC7A69" w:rsidP="00CF7116">
      <w:pPr>
        <w:spacing w:before="240" w:line="276" w:lineRule="auto"/>
      </w:pPr>
      <w:r w:rsidRPr="0095272F">
        <w:t xml:space="preserve">There was </w:t>
      </w:r>
      <w:r w:rsidRPr="00DC5265">
        <w:t>very weak evidence</w:t>
      </w:r>
      <w:r>
        <w:t xml:space="preserve"> of no effect from one laboratory study,</w:t>
      </w:r>
      <w:r w:rsidR="00F0201B">
        <w:rPr>
          <w:vertAlign w:val="superscript"/>
        </w:rPr>
        <w:t>245</w:t>
      </w:r>
      <w:r>
        <w:t xml:space="preserve"> </w:t>
      </w:r>
      <w:r w:rsidRPr="00F25D61">
        <w:t xml:space="preserve">which </w:t>
      </w:r>
      <w:r>
        <w:t xml:space="preserve">evaluated the effect of disinfection with </w:t>
      </w:r>
      <w:r w:rsidR="005D2246">
        <w:t xml:space="preserve">a </w:t>
      </w:r>
      <w:r>
        <w:t xml:space="preserve">phenolic agent </w:t>
      </w:r>
      <w:r w:rsidR="005D2246">
        <w:t xml:space="preserve">using </w:t>
      </w:r>
      <w:r>
        <w:t>inactivation of FCV as</w:t>
      </w:r>
      <w:r w:rsidR="005D2246">
        <w:t xml:space="preserve"> a</w:t>
      </w:r>
      <w:r>
        <w:t xml:space="preserve"> surrogate for HNV. The study used </w:t>
      </w:r>
      <w:proofErr w:type="spellStart"/>
      <w:r w:rsidRPr="00025774">
        <w:t>Microbac</w:t>
      </w:r>
      <w:proofErr w:type="spellEnd"/>
      <w:r>
        <w:t xml:space="preserve"> </w:t>
      </w:r>
      <w:r w:rsidRPr="00025774">
        <w:t>II</w:t>
      </w:r>
      <w:r>
        <w:t>®</w:t>
      </w:r>
      <w:r w:rsidRPr="00025774">
        <w:t xml:space="preserve"> (4.75% o-benzyl p-chlorophenol + 4.75% o-</w:t>
      </w:r>
      <w:proofErr w:type="spellStart"/>
      <w:r w:rsidRPr="00025774">
        <w:t>phenylphenol</w:t>
      </w:r>
      <w:proofErr w:type="spellEnd"/>
      <w:r w:rsidRPr="00025774">
        <w:t>)</w:t>
      </w:r>
      <w:r>
        <w:t xml:space="preserve"> on different types of fabrics and carpets and found that except for 100% polyester fabric with </w:t>
      </w:r>
      <w:proofErr w:type="spellStart"/>
      <w:r>
        <w:t>Microbac</w:t>
      </w:r>
      <w:proofErr w:type="spellEnd"/>
      <w:r>
        <w:t xml:space="preserve"> II® where 99% of inactivation occurred after</w:t>
      </w:r>
      <w:r w:rsidR="001128A6">
        <w:t xml:space="preserve"> ten </w:t>
      </w:r>
      <w:r>
        <w:t>minute exposure</w:t>
      </w:r>
      <w:r w:rsidR="00F154F2">
        <w:t>;</w:t>
      </w:r>
      <w:r>
        <w:t xml:space="preserve"> this disinfectant was not effective in inactivating FCV.</w:t>
      </w:r>
      <w:r w:rsidR="000E41A6">
        <w:t xml:space="preserve"> </w:t>
      </w:r>
    </w:p>
    <w:p w14:paraId="4C025A20" w14:textId="77777777" w:rsidR="00EC7A69" w:rsidRPr="00906DF5" w:rsidRDefault="00EC7A69" w:rsidP="00CF7116">
      <w:pPr>
        <w:pStyle w:val="Heading3"/>
        <w:spacing w:line="276" w:lineRule="auto"/>
      </w:pPr>
      <w:r>
        <w:t>Hydrogen peroxide (surface and vapour)</w:t>
      </w:r>
    </w:p>
    <w:p w14:paraId="11486268" w14:textId="68C669B7" w:rsidR="00EC7A69" w:rsidRDefault="00EC7A69" w:rsidP="00CF7116">
      <w:pPr>
        <w:spacing w:before="240" w:line="276" w:lineRule="auto"/>
      </w:pPr>
      <w:r w:rsidRPr="0095272F">
        <w:t>There was</w:t>
      </w:r>
      <w:r w:rsidRPr="00DC5265">
        <w:t xml:space="preserve"> very weak evidence</w:t>
      </w:r>
      <w:r>
        <w:t xml:space="preserve"> from three outbreak reports</w:t>
      </w:r>
      <w:r w:rsidR="00E1357F" w:rsidRPr="00E1357F">
        <w:rPr>
          <w:vertAlign w:val="superscript"/>
        </w:rPr>
        <w:t>28,35,55</w:t>
      </w:r>
      <w:r>
        <w:t xml:space="preserve"> and one case series study,</w:t>
      </w:r>
      <w:r w:rsidR="00E1357F">
        <w:rPr>
          <w:vertAlign w:val="superscript"/>
        </w:rPr>
        <w:t>128</w:t>
      </w:r>
      <w:r>
        <w:t xml:space="preserve"> </w:t>
      </w:r>
      <w:r w:rsidRPr="00F25D61">
        <w:t xml:space="preserve">which </w:t>
      </w:r>
      <w:r>
        <w:t>used hydrogen peroxide, together with other interventions, during outbreaks in healthcare settings. One study,</w:t>
      </w:r>
      <w:r w:rsidR="00E1357F">
        <w:rPr>
          <w:vertAlign w:val="superscript"/>
        </w:rPr>
        <w:t>55</w:t>
      </w:r>
      <w:r>
        <w:t xml:space="preserve"> which described an outbreak in </w:t>
      </w:r>
      <w:r w:rsidR="005D2246">
        <w:t xml:space="preserve">a </w:t>
      </w:r>
      <w:r>
        <w:t>psychiatric ward where it was difficult to implement some interventions due to the type of patients present (i.e. isolation rooms were not always available because they had to be used for some patients with challenging behaviour) reported that switching from QAC disinfection to accelerated hydrogen peroxide surface disinfectant (</w:t>
      </w:r>
      <w:proofErr w:type="spellStart"/>
      <w:r>
        <w:t>Virox</w:t>
      </w:r>
      <w:proofErr w:type="spellEnd"/>
      <w:r>
        <w:t xml:space="preserve">®, concentration not stated) was beneficial and contributed to resolution of an outbreak. The outbreak involved 25 cases and lasted </w:t>
      </w:r>
      <w:r w:rsidR="005D2246">
        <w:t>for eleven d</w:t>
      </w:r>
      <w:r>
        <w:t>ays, but there were nine cases after implementation of the control measures and the outbreak was resolved after five days. In another study,</w:t>
      </w:r>
      <w:r w:rsidR="00E1357F">
        <w:rPr>
          <w:vertAlign w:val="superscript"/>
        </w:rPr>
        <w:t>28</w:t>
      </w:r>
      <w:r>
        <w:t xml:space="preserve"> control measures introduced on </w:t>
      </w:r>
      <w:r w:rsidR="005D2246">
        <w:t>the</w:t>
      </w:r>
      <w:r>
        <w:t xml:space="preserve"> first day were able to contain an outbreak quickly with only three cases affected over t</w:t>
      </w:r>
      <w:r w:rsidR="005D2246">
        <w:t>w</w:t>
      </w:r>
      <w:r>
        <w:t xml:space="preserve">o days. Control measures, among others, included disinfecting all surfaces and </w:t>
      </w:r>
      <w:r>
        <w:lastRenderedPageBreak/>
        <w:t>equipment with hydrogen peroxide wipes, which along with other measures, contributed to the quick outbreak resolution. The last outbreak</w:t>
      </w:r>
      <w:r w:rsidR="00E1357F">
        <w:rPr>
          <w:vertAlign w:val="superscript"/>
        </w:rPr>
        <w:t>35</w:t>
      </w:r>
      <w:r>
        <w:t xml:space="preserve"> report described control measures which included either the use 1% aldehyde or 0.1% chlorine-free bleach (peroxide), and which did not seem to influence the course of an outbreak. Despite the control measures being in place from the first day, the authors reported that the outbreak continued for a further 21 days and affected a further 59 cases. Finally, one case series study</w:t>
      </w:r>
      <w:r w:rsidR="00E1357F">
        <w:rPr>
          <w:vertAlign w:val="superscript"/>
        </w:rPr>
        <w:t>128</w:t>
      </w:r>
      <w:r>
        <w:t xml:space="preserve"> described a chronic index patient who was admitted to a ward on multiple occasions. For ten months, during which time the index patient was sometimes present due to multiple admissions, cases of norovirus occurred on a ward. Additionally, when the patient was discharged, patients who occupied the room after the index case also acquired norovirus despite extensive disinfection. The protocol of disinfection included thorough disinfection of surfaces with </w:t>
      </w:r>
      <w:r w:rsidR="00E2003E">
        <w:t>NaCl-</w:t>
      </w:r>
      <w:r>
        <w:t xml:space="preserve">, steam cleaning and 12% hydrogen peroxide mist. Despite these measures, environmental swabs still detected norovirus in the room. It was reported that only after the protocol for disinfection was repeated and UV light was added, was norovirus eradicated from the room. </w:t>
      </w:r>
    </w:p>
    <w:p w14:paraId="20F3EF06" w14:textId="40026D0E"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effectiveness of using hydrogen peroxide outside healthcare settings. </w:t>
      </w:r>
    </w:p>
    <w:p w14:paraId="49257858" w14:textId="05B182DF"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disinfection with peroxide in any settings. </w:t>
      </w:r>
    </w:p>
    <w:p w14:paraId="3D86A687" w14:textId="4D765279" w:rsidR="00EC7A69" w:rsidRDefault="00EC7A69" w:rsidP="00CF7116">
      <w:pPr>
        <w:spacing w:before="240" w:line="276" w:lineRule="auto"/>
      </w:pPr>
      <w:r w:rsidRPr="00C52FEA">
        <w:t xml:space="preserve">There was </w:t>
      </w:r>
      <w:r w:rsidRPr="00DC5265">
        <w:t>very weak evidence</w:t>
      </w:r>
      <w:r>
        <w:t xml:space="preserve"> </w:t>
      </w:r>
      <w:r w:rsidRPr="00C52FEA">
        <w:t xml:space="preserve">from </w:t>
      </w:r>
      <w:r>
        <w:t>seven</w:t>
      </w:r>
      <w:r w:rsidRPr="00C52FEA">
        <w:t xml:space="preserve"> laboratory stud</w:t>
      </w:r>
      <w:r>
        <w:t>ies</w:t>
      </w:r>
      <w:r w:rsidRPr="00C52FEA">
        <w:t>,</w:t>
      </w:r>
      <w:r w:rsidR="00E1357F" w:rsidRPr="00E1357F">
        <w:rPr>
          <w:vertAlign w:val="superscript"/>
        </w:rPr>
        <w:t>227,231,237,241,249-251</w:t>
      </w:r>
      <w:r w:rsidRPr="00C52FEA">
        <w:t xml:space="preserve"> which evaluated the effect of disinfection with </w:t>
      </w:r>
      <w:r>
        <w:t>hydrogen peroxide using HNV</w:t>
      </w:r>
      <w:r w:rsidR="00E1357F" w:rsidRPr="00E1357F">
        <w:rPr>
          <w:vertAlign w:val="superscript"/>
        </w:rPr>
        <w:t>227,241,249</w:t>
      </w:r>
      <w:r>
        <w:t xml:space="preserve"> as well as MNV and FCV surrogates.</w:t>
      </w:r>
      <w:r w:rsidR="00E1357F">
        <w:rPr>
          <w:vertAlign w:val="superscript"/>
        </w:rPr>
        <w:t>231,237,241,249-251</w:t>
      </w:r>
      <w:r>
        <w:t xml:space="preserve"> In one study,</w:t>
      </w:r>
      <w:r w:rsidR="00E1357F">
        <w:rPr>
          <w:vertAlign w:val="superscript"/>
        </w:rPr>
        <w:t>227</w:t>
      </w:r>
      <w:r>
        <w:t xml:space="preserve"> which used 1.4% hydrogen peroxide applied for </w:t>
      </w:r>
      <w:r w:rsidR="001128A6">
        <w:t>one</w:t>
      </w:r>
      <w:r>
        <w:t xml:space="preserve"> minute as a surface disinfectant to plastic, leather and seatbelt sample surfaces did not sufficiently remove HNV, regardless whether organic load was present or not. Another study</w:t>
      </w:r>
      <w:r w:rsidR="00E1357F">
        <w:rPr>
          <w:vertAlign w:val="superscript"/>
        </w:rPr>
        <w:t>237</w:t>
      </w:r>
      <w:r>
        <w:t xml:space="preserve"> reported that application of 4.25% accelerated hydrogen peroxide to glass, polyester or cotton for </w:t>
      </w:r>
      <w:r w:rsidR="001128A6">
        <w:t>five minutes</w:t>
      </w:r>
      <w:r>
        <w:t xml:space="preserve"> resulted in a sufficient reduction in the infectious FCV, but not MNV. Additionally, the disinfection did not seem to show an effect on the reduction of the number of viral copies, which, the authors concluded, suggests that molecular-based tests may not be suitable for assessing the effectiveness of the disinfectant as they may detect inactive viral particles. In line with these findings, another study</w:t>
      </w:r>
      <w:r w:rsidR="00E1357F">
        <w:rPr>
          <w:vertAlign w:val="superscript"/>
        </w:rPr>
        <w:t>231</w:t>
      </w:r>
      <w:r>
        <w:t xml:space="preserve"> which used accelerated hydrogen peroxide applied to stainless steel surfaces for up to</w:t>
      </w:r>
      <w:r w:rsidR="001128A6">
        <w:t xml:space="preserve"> ten </w:t>
      </w:r>
      <w:r>
        <w:t>minutes, reported that five minutes were required to inactivate FCV without organic soiling at a concentration of 1750ppm. When organic soiling was present, the concentration needed to be increased to at least 3500ppm for</w:t>
      </w:r>
      <w:r w:rsidR="001128A6">
        <w:t xml:space="preserve"> ten </w:t>
      </w:r>
      <w:r>
        <w:t>minute disinfection or 7000ppm for</w:t>
      </w:r>
      <w:r w:rsidR="001128A6">
        <w:t xml:space="preserve"> five </w:t>
      </w:r>
      <w:r>
        <w:t xml:space="preserve">minutes. However, to inactivate MNV, concentrations of 35,000ppm were required for </w:t>
      </w:r>
      <w:r w:rsidR="005D2246">
        <w:t>a</w:t>
      </w:r>
      <w:r w:rsidR="001128A6">
        <w:t xml:space="preserve"> ten </w:t>
      </w:r>
      <w:r>
        <w:t>minute exposure and the authors reported that at this concentration there was an observed potential cytotoxic effect in murine and feline cells. In one study</w:t>
      </w:r>
      <w:r w:rsidR="00E1357F">
        <w:rPr>
          <w:vertAlign w:val="superscript"/>
        </w:rPr>
        <w:t>241</w:t>
      </w:r>
      <w:r>
        <w:t xml:space="preserve"> which used </w:t>
      </w:r>
      <w:r w:rsidR="00E2003E">
        <w:t>HPV</w:t>
      </w:r>
      <w:r>
        <w:t>,</w:t>
      </w:r>
      <w:r w:rsidR="001128A6">
        <w:t xml:space="preserve"> five </w:t>
      </w:r>
      <w:r>
        <w:t>minute fogging at concentration of 12.4% HPV resulted in sufficient deactivation of FCV (4.3x log</w:t>
      </w:r>
      <w:r w:rsidRPr="00652EDA">
        <w:rPr>
          <w:vertAlign w:val="subscript"/>
        </w:rPr>
        <w:t>10</w:t>
      </w:r>
      <w:r>
        <w:t xml:space="preserve"> reduction in pfu infectious virus) but did not sufficiently remove HNV GI and GII (2.5 and 2.7 log</w:t>
      </w:r>
      <w:r w:rsidRPr="00652EDA">
        <w:rPr>
          <w:vertAlign w:val="subscript"/>
        </w:rPr>
        <w:t>10</w:t>
      </w:r>
      <w:r>
        <w:t xml:space="preserve"> reduction in number of copies). Lowering the concentration of HPV resulted in less inactivation or reduction of the number of copies (FCV and HNV respectively). However, another study</w:t>
      </w:r>
      <w:r w:rsidR="00E1357F">
        <w:rPr>
          <w:vertAlign w:val="superscript"/>
        </w:rPr>
        <w:t>249</w:t>
      </w:r>
      <w:r>
        <w:t xml:space="preserve"> which used HPV reaching 860ppm, reported that disinfection resulted in a </w:t>
      </w:r>
      <w:r w:rsidRPr="00652EDA">
        <w:t>4.5-5.0</w:t>
      </w:r>
      <w:r>
        <w:t>x</w:t>
      </w:r>
      <w:r w:rsidRPr="00652EDA">
        <w:t xml:space="preserve"> log</w:t>
      </w:r>
      <w:r w:rsidRPr="00652EDA">
        <w:rPr>
          <w:vertAlign w:val="subscript"/>
        </w:rPr>
        <w:t>10</w:t>
      </w:r>
      <w:r>
        <w:t xml:space="preserve"> reduction of viable MNV but an assessment of the reduction of the number of viral copies using two different PCR assays only demonstrated 1.7 and 0.4x log</w:t>
      </w:r>
      <w:r w:rsidRPr="00652EDA">
        <w:rPr>
          <w:vertAlign w:val="subscript"/>
        </w:rPr>
        <w:t>10</w:t>
      </w:r>
      <w:r>
        <w:t xml:space="preserve"> reductions. The mean reduction of HNV was 0.4x log</w:t>
      </w:r>
      <w:r w:rsidRPr="00DD2A96">
        <w:rPr>
          <w:vertAlign w:val="subscript"/>
        </w:rPr>
        <w:t>10</w:t>
      </w:r>
      <w:r>
        <w:t xml:space="preserve"> and the authors concluded that the results </w:t>
      </w:r>
      <w:r>
        <w:lastRenderedPageBreak/>
        <w:t>may also be affected by detecting deactivated virus. In another experiment,</w:t>
      </w:r>
      <w:r w:rsidR="00E1357F">
        <w:rPr>
          <w:vertAlign w:val="superscript"/>
        </w:rPr>
        <w:t>250</w:t>
      </w:r>
      <w:r>
        <w:t xml:space="preserve"> FCV was completely eliminated after 15 minutes of exposure to 30% HPV on glass, vinyl, ceramic and PVC</w:t>
      </w:r>
      <w:r w:rsidR="005D2246">
        <w:t>,</w:t>
      </w:r>
      <w:r>
        <w:t xml:space="preserve"> but </w:t>
      </w:r>
      <w:r w:rsidR="005D2246">
        <w:t xml:space="preserve">a </w:t>
      </w:r>
      <w:r>
        <w:t xml:space="preserve">20 minute exposure was required to achieve </w:t>
      </w:r>
      <w:r w:rsidR="005D2246">
        <w:t xml:space="preserve">a </w:t>
      </w:r>
      <w:r>
        <w:t>4x log</w:t>
      </w:r>
      <w:r w:rsidRPr="00652EDA">
        <w:rPr>
          <w:vertAlign w:val="subscript"/>
        </w:rPr>
        <w:t>10</w:t>
      </w:r>
      <w:r>
        <w:t xml:space="preserve"> reduction on stainless steel, and complete elimination was not achieved. Finally, one simulation study</w:t>
      </w:r>
      <w:r w:rsidR="00E1357F">
        <w:rPr>
          <w:vertAlign w:val="superscript"/>
        </w:rPr>
        <w:t>252</w:t>
      </w:r>
      <w:r>
        <w:t xml:space="preserve"> used FCV and MNV as surrogates in assessing the effectiveness of HPV (474-505ppm reached with </w:t>
      </w:r>
      <w:r w:rsidR="005D2246">
        <w:t xml:space="preserve">a </w:t>
      </w:r>
      <w:r>
        <w:t>15 minutes dwell cycle) on different surfaces in a non-occupied single hospital room and the attached bathroom. Plastic coupons were placed in different areas, some of which represented high-touch surfaces and some were high surfaces which were difficult to clean. The study reported that no viable MNV or FCV virus (defined as &lt;1 l</w:t>
      </w:r>
      <w:r w:rsidRPr="00652EDA">
        <w:t>og</w:t>
      </w:r>
      <w:r w:rsidRPr="00652EDA">
        <w:rPr>
          <w:vertAlign w:val="subscript"/>
        </w:rPr>
        <w:t>TCID50</w:t>
      </w:r>
      <w:r w:rsidRPr="00652EDA">
        <w:t>/</w:t>
      </w:r>
      <w:r>
        <w:t xml:space="preserve"> </w:t>
      </w:r>
      <w:r w:rsidRPr="00652EDA">
        <w:t>100μL</w:t>
      </w:r>
      <w:r>
        <w:t xml:space="preserve">) was detected for all surfaces after the disinfection cycle was completed. The authors also reported that the time required from dwelling until room was safe to enter was three hours. </w:t>
      </w:r>
    </w:p>
    <w:p w14:paraId="71AF6BB9" w14:textId="77777777" w:rsidR="00EC7A69" w:rsidRPr="00906DF5" w:rsidRDefault="00EC7A69" w:rsidP="00CF7116">
      <w:pPr>
        <w:pStyle w:val="Heading3"/>
        <w:spacing w:line="276" w:lineRule="auto"/>
      </w:pPr>
      <w:r>
        <w:t xml:space="preserve">Aldehydes </w:t>
      </w:r>
    </w:p>
    <w:p w14:paraId="71C47A83" w14:textId="37B63558" w:rsidR="00EC7A69" w:rsidRDefault="00EC7A69" w:rsidP="00CF7116">
      <w:pPr>
        <w:spacing w:before="240" w:line="276" w:lineRule="auto"/>
      </w:pPr>
      <w:r w:rsidRPr="0095272F">
        <w:t xml:space="preserve">There was </w:t>
      </w:r>
      <w:r w:rsidRPr="00DC5265">
        <w:t>very weak evidence</w:t>
      </w:r>
      <w:r>
        <w:t xml:space="preserve"> from one outbreak report,</w:t>
      </w:r>
      <w:r w:rsidR="00A127FA">
        <w:rPr>
          <w:vertAlign w:val="superscript"/>
        </w:rPr>
        <w:t>35</w:t>
      </w:r>
      <w:r>
        <w:t xml:space="preserve"> which evaluated the use of aldehydes during outbreaks in healthcare settings. The report described the control measures which included either the use 1% aldehyde or 0.1% chlorine-free bleach (peroxide), and which did not seem to influence the course of an outbreak. Despite the control measures being in place from the first day, the authors reported that </w:t>
      </w:r>
      <w:r w:rsidR="00F154F2">
        <w:t xml:space="preserve">the </w:t>
      </w:r>
      <w:r>
        <w:t xml:space="preserve">outbreak continued for </w:t>
      </w:r>
      <w:r w:rsidR="00F154F2">
        <w:t xml:space="preserve">a </w:t>
      </w:r>
      <w:r>
        <w:t xml:space="preserve">further 21 days and affected </w:t>
      </w:r>
      <w:r w:rsidR="00F154F2">
        <w:t xml:space="preserve">a </w:t>
      </w:r>
      <w:r>
        <w:t>further 59 cases.</w:t>
      </w:r>
    </w:p>
    <w:p w14:paraId="199CD96C" w14:textId="386439C8"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 of disinfection with aldehydes in outbreaks outside healthcare settings. </w:t>
      </w:r>
    </w:p>
    <w:p w14:paraId="314DB204" w14:textId="34F10E9D"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disinfection with aldehydes in any settings. </w:t>
      </w:r>
    </w:p>
    <w:p w14:paraId="0CB31C9F" w14:textId="389C0A68" w:rsidR="00EC7A69" w:rsidRDefault="00EC7A69" w:rsidP="00CF7116">
      <w:pPr>
        <w:spacing w:before="240" w:line="276" w:lineRule="auto"/>
      </w:pPr>
      <w:r w:rsidRPr="0095272F">
        <w:t>There was</w:t>
      </w:r>
      <w:r w:rsidRPr="00DC5265">
        <w:t xml:space="preserve"> very weak evidence</w:t>
      </w:r>
      <w:r>
        <w:t xml:space="preserve"> of no effect from </w:t>
      </w:r>
      <w:r w:rsidR="00A127FA">
        <w:t>four</w:t>
      </w:r>
      <w:r>
        <w:t xml:space="preserve"> laboratory studies</w:t>
      </w:r>
      <w:r w:rsidRPr="00A127FA">
        <w:rPr>
          <w:vertAlign w:val="superscript"/>
        </w:rPr>
        <w:t>,</w:t>
      </w:r>
      <w:r w:rsidR="00A127FA" w:rsidRPr="00A127FA">
        <w:rPr>
          <w:vertAlign w:val="superscript"/>
        </w:rPr>
        <w:t>233,245,247</w:t>
      </w:r>
      <w:r w:rsidR="00A127FA">
        <w:rPr>
          <w:vertAlign w:val="superscript"/>
        </w:rPr>
        <w:t>,248</w:t>
      </w:r>
      <w:r>
        <w:t xml:space="preserve"> </w:t>
      </w:r>
      <w:r w:rsidRPr="00F25D61">
        <w:t xml:space="preserve">which </w:t>
      </w:r>
      <w:r>
        <w:t>evaluated the effect of disinfection with aldehydes on MNV</w:t>
      </w:r>
      <w:r w:rsidR="00A127FA">
        <w:rPr>
          <w:vertAlign w:val="superscript"/>
        </w:rPr>
        <w:t>233,247</w:t>
      </w:r>
      <w:r>
        <w:rPr>
          <w:vertAlign w:val="superscript"/>
        </w:rPr>
        <w:t xml:space="preserve"> </w:t>
      </w:r>
      <w:r>
        <w:t>and FCV</w:t>
      </w:r>
      <w:r w:rsidR="00A127FA">
        <w:rPr>
          <w:vertAlign w:val="superscript"/>
        </w:rPr>
        <w:t>233,245</w:t>
      </w:r>
      <w:r>
        <w:t xml:space="preserve"> surrogates on stainless steel,</w:t>
      </w:r>
      <w:r w:rsidR="00A127FA">
        <w:rPr>
          <w:vertAlign w:val="superscript"/>
        </w:rPr>
        <w:t>247</w:t>
      </w:r>
      <w:r>
        <w:t xml:space="preserve"> formica</w:t>
      </w:r>
      <w:r w:rsidR="00A127FA">
        <w:rPr>
          <w:vertAlign w:val="superscript"/>
        </w:rPr>
        <w:t>233</w:t>
      </w:r>
      <w:r>
        <w:t xml:space="preserve"> and different types of fabrics and carpets.</w:t>
      </w:r>
      <w:r w:rsidR="00A127FA">
        <w:rPr>
          <w:vertAlign w:val="superscript"/>
        </w:rPr>
        <w:t>245</w:t>
      </w:r>
      <w:r>
        <w:t xml:space="preserve"> One study,</w:t>
      </w:r>
      <w:r w:rsidR="00A127FA">
        <w:rPr>
          <w:vertAlign w:val="superscript"/>
        </w:rPr>
        <w:t>247</w:t>
      </w:r>
      <w:r>
        <w:t xml:space="preserve"> which reported the effectiveness as concentration of the disinfectant required to </w:t>
      </w:r>
      <w:r w:rsidRPr="00EB6AC5">
        <w:t>achieve at least 4</w:t>
      </w:r>
      <w:r>
        <w:t xml:space="preserve">x </w:t>
      </w:r>
      <w:r w:rsidRPr="00EB6AC5">
        <w:t>log</w:t>
      </w:r>
      <w:r w:rsidRPr="00EB6AC5">
        <w:rPr>
          <w:vertAlign w:val="subscript"/>
        </w:rPr>
        <w:t>10</w:t>
      </w:r>
      <w:r w:rsidRPr="00EB6AC5">
        <w:t xml:space="preserve"> reduction of infective titre within</w:t>
      </w:r>
      <w:r w:rsidR="001128A6">
        <w:t xml:space="preserve"> five </w:t>
      </w:r>
      <w:r w:rsidRPr="00EB6AC5">
        <w:t>min</w:t>
      </w:r>
      <w:r>
        <w:t xml:space="preserve">utes reported that this was achieved with 60% </w:t>
      </w:r>
      <w:r w:rsidR="00E2003E">
        <w:t>ETA</w:t>
      </w:r>
      <w:r>
        <w:t xml:space="preserve"> and 40% 1-</w:t>
      </w:r>
      <w:r w:rsidR="00E2003E">
        <w:t>IPA</w:t>
      </w:r>
      <w:r>
        <w:t xml:space="preserve"> for dirty conditions (50% and 30% respectively for clean conditions) but not achieved for 2-</w:t>
      </w:r>
      <w:r w:rsidR="00E2003E">
        <w:t>IPA</w:t>
      </w:r>
      <w:r>
        <w:t xml:space="preserve">. In contrast, the remaining studies did not report any effect, neither with 70% </w:t>
      </w:r>
      <w:r w:rsidR="00E2003E">
        <w:t>ETA</w:t>
      </w:r>
      <w:r w:rsidR="00A127FA">
        <w:rPr>
          <w:vertAlign w:val="superscript"/>
        </w:rPr>
        <w:t>233</w:t>
      </w:r>
      <w:r>
        <w:t xml:space="preserve"> nor with 58-70% isopropyl alcohol.</w:t>
      </w:r>
      <w:r w:rsidR="00A127FA" w:rsidRPr="00A127FA">
        <w:rPr>
          <w:vertAlign w:val="superscript"/>
        </w:rPr>
        <w:t>245,247,248</w:t>
      </w:r>
      <w:r>
        <w:t xml:space="preserve"> At 1% concentration of glutaraldehyde, it was possible to sufficiently reduce the number of FCV viral copies in 30 seconds and </w:t>
      </w:r>
      <w:r w:rsidR="001128A6">
        <w:t>one</w:t>
      </w:r>
      <w:r>
        <w:t xml:space="preserve"> minute, but for MNV, 2% concentration was required.</w:t>
      </w:r>
      <w:r w:rsidR="00A127FA">
        <w:rPr>
          <w:vertAlign w:val="superscript"/>
        </w:rPr>
        <w:t>233</w:t>
      </w:r>
      <w:r>
        <w:t xml:space="preserve"> To achieve at least 4x log</w:t>
      </w:r>
      <w:r w:rsidRPr="00F97DAE">
        <w:rPr>
          <w:vertAlign w:val="subscript"/>
        </w:rPr>
        <w:t>10</w:t>
      </w:r>
      <w:r w:rsidR="005D2246" w:rsidRPr="005D2246">
        <w:t xml:space="preserve"> </w:t>
      </w:r>
      <w:r>
        <w:t xml:space="preserve">reduction </w:t>
      </w:r>
      <w:r w:rsidR="005D2246">
        <w:t xml:space="preserve">of </w:t>
      </w:r>
      <w:r>
        <w:t>infective titre of MNV, 2500ppm of glutaraldehyde for</w:t>
      </w:r>
      <w:r w:rsidR="001128A6">
        <w:t xml:space="preserve"> five </w:t>
      </w:r>
      <w:r>
        <w:t>minute contact time was required.</w:t>
      </w:r>
      <w:r w:rsidR="00A127FA">
        <w:rPr>
          <w:vertAlign w:val="superscript"/>
        </w:rPr>
        <w:t>247</w:t>
      </w:r>
      <w:r>
        <w:t xml:space="preserve"> Glutaraldehyde at concentration of 2.6% was successful in inactivating at least 3x log</w:t>
      </w:r>
      <w:r w:rsidRPr="00F97DAE">
        <w:rPr>
          <w:vertAlign w:val="subscript"/>
        </w:rPr>
        <w:t>10</w:t>
      </w:r>
      <w:r>
        <w:t xml:space="preserve"> of infectious FCV within</w:t>
      </w:r>
      <w:r w:rsidR="001128A6">
        <w:t xml:space="preserve"> ten </w:t>
      </w:r>
      <w:r>
        <w:t>minutes,</w:t>
      </w:r>
      <w:r w:rsidR="00A127FA">
        <w:rPr>
          <w:vertAlign w:val="superscript"/>
        </w:rPr>
        <w:t>245</w:t>
      </w:r>
      <w:r>
        <w:t xml:space="preserve"> however this concentration may be beyond the safety level threshold which is considered to be 2%. </w:t>
      </w:r>
    </w:p>
    <w:p w14:paraId="4E5DB915" w14:textId="3C950129" w:rsidR="00EC7A69" w:rsidRPr="00906DF5" w:rsidRDefault="00EC7A69" w:rsidP="00CF7116">
      <w:pPr>
        <w:pStyle w:val="Heading3"/>
        <w:spacing w:line="276" w:lineRule="auto"/>
      </w:pPr>
      <w:r>
        <w:t>Ultraviolet light</w:t>
      </w:r>
      <w:r w:rsidR="00E2003E">
        <w:t xml:space="preserve"> (UV)</w:t>
      </w:r>
    </w:p>
    <w:p w14:paraId="7C9232BE" w14:textId="1D6A4F34" w:rsidR="00EC7A69" w:rsidRDefault="00EC7A69" w:rsidP="00CF7116">
      <w:pPr>
        <w:spacing w:before="240" w:line="276" w:lineRule="auto"/>
      </w:pPr>
      <w:r w:rsidRPr="0095272F">
        <w:t xml:space="preserve">There was </w:t>
      </w:r>
      <w:r w:rsidRPr="00DC5265">
        <w:t>very weak evidence</w:t>
      </w:r>
      <w:r>
        <w:t xml:space="preserve"> from one case series study,</w:t>
      </w:r>
      <w:r w:rsidR="00A127FA">
        <w:rPr>
          <w:vertAlign w:val="superscript"/>
        </w:rPr>
        <w:t>128</w:t>
      </w:r>
      <w:r>
        <w:t xml:space="preserve"> which evaluated the use of </w:t>
      </w:r>
      <w:r w:rsidR="00E2003E">
        <w:t>UV</w:t>
      </w:r>
      <w:r>
        <w:t xml:space="preserve"> light disinfection in healthcare settings. The study described a chronic index patient who was admitted to a ward on multiple occasions. During these admissions, when the index patient was present on a </w:t>
      </w:r>
      <w:r>
        <w:lastRenderedPageBreak/>
        <w:t xml:space="preserve">ward in one of the isolation rooms, cases of norovirus occurred and when a new patient was placed in a room after the index patient was discharged, they also acquired norovirus. These infections occurred even though an extensive disinfection with </w:t>
      </w:r>
      <w:r w:rsidR="00E2003E">
        <w:t>NaCl-</w:t>
      </w:r>
      <w:r>
        <w:t xml:space="preserve"> (2000ppm) and HPV was undertaken. The author reported that only when the room was thoroughly cleaned, disinfected with </w:t>
      </w:r>
      <w:r w:rsidR="00E2003E">
        <w:t>NaCl-</w:t>
      </w:r>
      <w:r>
        <w:t xml:space="preserve"> and HPV and followed by UV light disinfection, environmental sampling showed that norovirus was eradicated from the room and no further cases occurred. </w:t>
      </w:r>
    </w:p>
    <w:p w14:paraId="0FB1943E" w14:textId="0219385C"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 of </w:t>
      </w:r>
      <w:r w:rsidR="00E2003E">
        <w:t>UV</w:t>
      </w:r>
      <w:r>
        <w:t xml:space="preserve"> light disinfection in outbreaks outside healthcare settings. </w:t>
      </w:r>
    </w:p>
    <w:p w14:paraId="2A90D3AF" w14:textId="2697AE50"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w:t>
      </w:r>
      <w:r w:rsidR="00E2003E">
        <w:t>UV</w:t>
      </w:r>
      <w:r>
        <w:t xml:space="preserve"> disinfection in any settings. </w:t>
      </w:r>
    </w:p>
    <w:p w14:paraId="1115AD27" w14:textId="09653B08" w:rsidR="00EC7A69" w:rsidRDefault="00EC7A69" w:rsidP="00CF7116">
      <w:pPr>
        <w:spacing w:before="240" w:line="276" w:lineRule="auto"/>
      </w:pPr>
      <w:r w:rsidRPr="0095272F">
        <w:t xml:space="preserve">There was </w:t>
      </w:r>
      <w:r w:rsidRPr="00DC5265">
        <w:t>very weak evidence</w:t>
      </w:r>
      <w:r>
        <w:t xml:space="preserve"> of no effect from one laboratory study,</w:t>
      </w:r>
      <w:r w:rsidR="00A127FA">
        <w:rPr>
          <w:vertAlign w:val="superscript"/>
        </w:rPr>
        <w:t>226</w:t>
      </w:r>
      <w:r>
        <w:t xml:space="preserve"> </w:t>
      </w:r>
      <w:r w:rsidRPr="00F25D61">
        <w:t xml:space="preserve">which </w:t>
      </w:r>
      <w:r>
        <w:t xml:space="preserve">evaluated the effect of disinfection using </w:t>
      </w:r>
      <w:r w:rsidR="005D2246">
        <w:t xml:space="preserve">a </w:t>
      </w:r>
      <w:r>
        <w:t xml:space="preserve">manual UVC device in comparison to 1% </w:t>
      </w:r>
      <w:r w:rsidR="00E2003E">
        <w:t>NaCl-</w:t>
      </w:r>
      <w:r>
        <w:t>. The device was held approximately 1cm from the surface and used 245nm length for</w:t>
      </w:r>
      <w:r w:rsidR="001128A6">
        <w:t xml:space="preserve"> five </w:t>
      </w:r>
      <w:r>
        <w:t xml:space="preserve">minute exposure, </w:t>
      </w:r>
      <w:r w:rsidR="00E2003E">
        <w:t>NaCl-</w:t>
      </w:r>
      <w:r>
        <w:t xml:space="preserve"> contact time was</w:t>
      </w:r>
      <w:r w:rsidR="001128A6">
        <w:t xml:space="preserve"> ten </w:t>
      </w:r>
      <w:r>
        <w:t xml:space="preserve">minutes. The study reported that </w:t>
      </w:r>
      <w:r w:rsidR="00E2003E">
        <w:t>NaCl-</w:t>
      </w:r>
      <w:r>
        <w:t xml:space="preserve"> was able to remove HNV from all sampled vinyl and granite surfaces while 7/13 (54%) of the surfaces which were disinfected by UVC still remained contaminated. The device performed better on disinfecting vinyl surfaces with </w:t>
      </w:r>
      <w:r w:rsidR="005D2246">
        <w:t xml:space="preserve">a </w:t>
      </w:r>
      <w:r>
        <w:t xml:space="preserve">mean number of 28 HNV copies per sample on vinyl vs 278 copies on granite. </w:t>
      </w:r>
    </w:p>
    <w:p w14:paraId="32EAF574" w14:textId="77777777" w:rsidR="00EC7A69" w:rsidRPr="00906DF5" w:rsidRDefault="00EC7A69" w:rsidP="00CF7116">
      <w:pPr>
        <w:pStyle w:val="Heading3"/>
        <w:spacing w:line="276" w:lineRule="auto"/>
      </w:pPr>
      <w:r>
        <w:t>Steam</w:t>
      </w:r>
    </w:p>
    <w:p w14:paraId="7AD73BC7" w14:textId="538BC7B6" w:rsidR="00EC7A69" w:rsidRDefault="00EC7A69" w:rsidP="00CF7116">
      <w:pPr>
        <w:spacing w:before="240" w:line="276" w:lineRule="auto"/>
      </w:pPr>
      <w:r w:rsidRPr="0095272F">
        <w:t xml:space="preserve">There was </w:t>
      </w:r>
      <w:r w:rsidRPr="00DC5265">
        <w:t>very weak evidence</w:t>
      </w:r>
      <w:r>
        <w:t xml:space="preserve"> from one prospective cohort study,</w:t>
      </w:r>
      <w:r w:rsidR="00A127FA">
        <w:rPr>
          <w:vertAlign w:val="superscript"/>
        </w:rPr>
        <w:t>221</w:t>
      </w:r>
      <w:r>
        <w:t xml:space="preserve"> which compared the effectiveness of using microfibre and steam technology to using </w:t>
      </w:r>
      <w:r w:rsidR="00E2003E">
        <w:t>NaCl-</w:t>
      </w:r>
      <w:r>
        <w:t xml:space="preserve"> in outbreak situations in </w:t>
      </w:r>
      <w:r w:rsidR="00F154F2">
        <w:t xml:space="preserve">a </w:t>
      </w:r>
      <w:r>
        <w:t xml:space="preserve">hospital. This </w:t>
      </w:r>
      <w:r w:rsidRPr="00575350">
        <w:t>study reported that the transmission of cases in two units was not due to environmental contamination and, as a result</w:t>
      </w:r>
      <w:r>
        <w:t>,</w:t>
      </w:r>
      <w:r w:rsidRPr="00575350">
        <w:t xml:space="preserve"> concluded that steam a</w:t>
      </w:r>
      <w:r>
        <w:t xml:space="preserve">nd </w:t>
      </w:r>
      <w:r w:rsidR="00E2003E">
        <w:t>NaCl-</w:t>
      </w:r>
      <w:r w:rsidRPr="00575350">
        <w:t xml:space="preserve"> are equally effective in minimising environmental spread (14/32 (44%) </w:t>
      </w:r>
      <w:r>
        <w:t xml:space="preserve">cases </w:t>
      </w:r>
      <w:r w:rsidRPr="00575350">
        <w:t xml:space="preserve">in </w:t>
      </w:r>
      <w:r w:rsidR="005D2246">
        <w:t xml:space="preserve">the </w:t>
      </w:r>
      <w:r w:rsidRPr="00575350">
        <w:t xml:space="preserve">unit using </w:t>
      </w:r>
      <w:r w:rsidR="00E2003E">
        <w:t>NaCl-</w:t>
      </w:r>
      <w:r w:rsidRPr="00575350">
        <w:t xml:space="preserve"> vs 22/32 (69%) in </w:t>
      </w:r>
      <w:r w:rsidR="005D2246">
        <w:t xml:space="preserve">the </w:t>
      </w:r>
      <w:r w:rsidRPr="00575350">
        <w:t xml:space="preserve">unit using steam (p-value not reported but not significant). In both units, </w:t>
      </w:r>
      <w:r>
        <w:t xml:space="preserve">the </w:t>
      </w:r>
      <w:r w:rsidRPr="00575350">
        <w:t xml:space="preserve">outbreak lasted </w:t>
      </w:r>
      <w:r w:rsidR="005D2246">
        <w:t xml:space="preserve">for five </w:t>
      </w:r>
      <w:r w:rsidRPr="00575350">
        <w:t>days.</w:t>
      </w:r>
      <w:r>
        <w:t xml:space="preserve"> In addition, the authors reported that microfibre and steam were more acceptable to staff and visitors, required less labour and used less water than </w:t>
      </w:r>
      <w:r w:rsidR="00E2003E">
        <w:t>NaCl-</w:t>
      </w:r>
      <w:r>
        <w:t xml:space="preserve">. </w:t>
      </w:r>
    </w:p>
    <w:p w14:paraId="2E1D3CED" w14:textId="0D68FA39"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 of steam disinfection in outbreaks outside healthcare settings. </w:t>
      </w:r>
    </w:p>
    <w:p w14:paraId="32B71ED9" w14:textId="2AA2349E"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w:t>
      </w:r>
      <w:r w:rsidR="00E2003E">
        <w:t>UV</w:t>
      </w:r>
      <w:r>
        <w:t xml:space="preserve"> disinfection in any settings. </w:t>
      </w:r>
    </w:p>
    <w:p w14:paraId="36274100" w14:textId="23B7ADF2" w:rsidR="00EC7A69" w:rsidRDefault="00EC7A69" w:rsidP="00CF7116">
      <w:pPr>
        <w:spacing w:before="240" w:line="276" w:lineRule="auto"/>
      </w:pPr>
      <w:r w:rsidRPr="0095272F">
        <w:t xml:space="preserve">There was </w:t>
      </w:r>
      <w:r w:rsidRPr="00DC5265">
        <w:t>very weak evidence</w:t>
      </w:r>
      <w:r>
        <w:t xml:space="preserve"> from one laboratory study,</w:t>
      </w:r>
      <w:r w:rsidR="00A127FA">
        <w:rPr>
          <w:vertAlign w:val="superscript"/>
        </w:rPr>
        <w:t>226</w:t>
      </w:r>
      <w:r>
        <w:t xml:space="preserve"> </w:t>
      </w:r>
      <w:r w:rsidRPr="00F25D61">
        <w:t xml:space="preserve">which </w:t>
      </w:r>
      <w:r>
        <w:t>evaluated the effect of disinfection using steam technology on glass, as well as wool and nylon carpet. The study reported that steam successfully removed FCV from glass (&gt;4.93 pfu log</w:t>
      </w:r>
      <w:r w:rsidRPr="00575350">
        <w:rPr>
          <w:vertAlign w:val="subscript"/>
        </w:rPr>
        <w:t>10</w:t>
      </w:r>
      <w:r>
        <w:t xml:space="preserve"> reduction) in</w:t>
      </w:r>
      <w:r w:rsidR="001128A6">
        <w:t xml:space="preserve"> ten </w:t>
      </w:r>
      <w:r>
        <w:t>seconds. However, exposure to steam even at the highest exposure time of 90 seconds, did not result in sufficient removal of FCV from wool and nylon carpets. The authors reported that minor abrasion was visible on a wool carpet immediately and 24</w:t>
      </w:r>
      <w:r w:rsidR="00C870B1">
        <w:t xml:space="preserve"> </w:t>
      </w:r>
      <w:r>
        <w:t>h</w:t>
      </w:r>
      <w:r w:rsidR="00C870B1">
        <w:t>ours</w:t>
      </w:r>
      <w:r>
        <w:t xml:space="preserve"> after the disinfection. </w:t>
      </w:r>
    </w:p>
    <w:p w14:paraId="55362F47" w14:textId="77777777" w:rsidR="00EC7A69" w:rsidRPr="00906DF5" w:rsidRDefault="00EC7A69" w:rsidP="00CF7116">
      <w:pPr>
        <w:pStyle w:val="Heading3"/>
        <w:spacing w:line="276" w:lineRule="auto"/>
      </w:pPr>
      <w:r>
        <w:lastRenderedPageBreak/>
        <w:t xml:space="preserve">No disinfection </w:t>
      </w:r>
    </w:p>
    <w:p w14:paraId="1AC09907" w14:textId="4BCCDCD9" w:rsidR="00EC7A69" w:rsidRDefault="00EC7A69" w:rsidP="00CF7116">
      <w:pPr>
        <w:spacing w:before="240" w:line="276" w:lineRule="auto"/>
      </w:pPr>
      <w:r w:rsidRPr="0095272F">
        <w:t xml:space="preserve">There was </w:t>
      </w:r>
      <w:r w:rsidRPr="00DC5265">
        <w:t>weak evidence</w:t>
      </w:r>
      <w:r>
        <w:t xml:space="preserve"> from one outbreak report,</w:t>
      </w:r>
      <w:r w:rsidR="00A127FA">
        <w:rPr>
          <w:vertAlign w:val="superscript"/>
        </w:rPr>
        <w:t>24</w:t>
      </w:r>
      <w:r>
        <w:t xml:space="preserve"> which used no disinfection during </w:t>
      </w:r>
      <w:r w:rsidR="005D2246">
        <w:t>an</w:t>
      </w:r>
      <w:r>
        <w:t xml:space="preserve"> outbreak in </w:t>
      </w:r>
      <w:r w:rsidR="005D2246">
        <w:t xml:space="preserve">a </w:t>
      </w:r>
      <w:r>
        <w:t xml:space="preserve">healthcare setting. The study reported that the outbreak affected 145 cases and lasted </w:t>
      </w:r>
      <w:r w:rsidR="005D2246">
        <w:t xml:space="preserve">for </w:t>
      </w:r>
      <w:r>
        <w:t xml:space="preserve">63 days, despite control measures being implemented on day four of an outbreak. The authors reported that the reason for a prolonged duration of an outbreak was non-compliance with interventions and it was noted that, due to staff shortages, residents cleaned their own rooms, but the detergents did not have virucidal properties and were not approved by EPA for decontamination in healthcare settings. </w:t>
      </w:r>
    </w:p>
    <w:p w14:paraId="69BB5A09" w14:textId="4E5794FE" w:rsidR="00EC7A69" w:rsidRDefault="00EC7A69" w:rsidP="00CF7116">
      <w:pPr>
        <w:spacing w:before="240" w:line="276" w:lineRule="auto"/>
      </w:pPr>
      <w:r w:rsidRPr="0095272F">
        <w:t xml:space="preserve">There was </w:t>
      </w:r>
      <w:r w:rsidRPr="00DC5265">
        <w:t>weak evidence</w:t>
      </w:r>
      <w:r>
        <w:t xml:space="preserve"> from two outbreak reports,</w:t>
      </w:r>
      <w:r w:rsidR="00A127FA">
        <w:rPr>
          <w:vertAlign w:val="superscript"/>
        </w:rPr>
        <w:t>59,124</w:t>
      </w:r>
      <w:r>
        <w:t xml:space="preserve"> which used no disinfection during outbreak</w:t>
      </w:r>
      <w:r w:rsidR="005D2246">
        <w:t>s</w:t>
      </w:r>
      <w:r>
        <w:t xml:space="preserve"> outside healthcare settings. One of these outbreaks,</w:t>
      </w:r>
      <w:r w:rsidR="00A127FA" w:rsidRPr="00A127FA">
        <w:rPr>
          <w:vertAlign w:val="superscript"/>
        </w:rPr>
        <w:t>124</w:t>
      </w:r>
      <w:r>
        <w:t xml:space="preserve"> which occurred in a hotel, affected over 1000 cases and lasted over 26 weeks. The authors reported that disinfectants were not used because there was a concern that these would damage carpets and soft furnishings. Cases continued for 14 weeks, at which point the hotel closed and performed deep cleaning (still no disinfection). It was reported that after re-opening cases increased rapidly and started to diminish couple weeks later. Another outbreak,</w:t>
      </w:r>
      <w:r w:rsidR="00A127FA">
        <w:rPr>
          <w:vertAlign w:val="superscript"/>
        </w:rPr>
        <w:t>59</w:t>
      </w:r>
      <w:r>
        <w:t xml:space="preserve"> also occurring in a hotel, was initiated by a common food source but secondary cases from person-to-person and environmental sources followed. It was reported that for the first nine days no disinfection was in place. The hotel closed for disinfection (details not provided) after which it was reported that no further cases occurred. </w:t>
      </w:r>
    </w:p>
    <w:p w14:paraId="0BD7B57A" w14:textId="77777777" w:rsidR="00EC7A69" w:rsidRPr="00740352" w:rsidRDefault="00EC7A69" w:rsidP="00CF7116">
      <w:pPr>
        <w:pStyle w:val="Heading3"/>
        <w:spacing w:line="276" w:lineRule="auto"/>
      </w:pPr>
      <w:r w:rsidRPr="00740352">
        <w:t xml:space="preserve">Other </w:t>
      </w:r>
      <w:r>
        <w:t xml:space="preserve">disinfecting </w:t>
      </w:r>
      <w:r w:rsidRPr="00740352">
        <w:t>agents</w:t>
      </w:r>
      <w:r>
        <w:t xml:space="preserve"> and technologies</w:t>
      </w:r>
    </w:p>
    <w:p w14:paraId="23BBBCF5" w14:textId="693D0DDB" w:rsidR="005D2246" w:rsidRDefault="00EC7A69" w:rsidP="00CF7116">
      <w:pPr>
        <w:spacing w:before="240" w:line="276" w:lineRule="auto"/>
      </w:pPr>
      <w:r>
        <w:t>There was further evidence from laboratory studies which used other disinfecting agents and technologies for removal or inactivation of HNV or MNV and FCV as its surrogates. These included peracetic acid,</w:t>
      </w:r>
      <w:r w:rsidR="00A127FA">
        <w:rPr>
          <w:vertAlign w:val="superscript"/>
        </w:rPr>
        <w:t>244</w:t>
      </w:r>
      <w:r>
        <w:t xml:space="preserve"> ozone,</w:t>
      </w:r>
      <w:r w:rsidR="00A127FA">
        <w:rPr>
          <w:vertAlign w:val="superscript"/>
        </w:rPr>
        <w:t>253,254</w:t>
      </w:r>
      <w:r>
        <w:t xml:space="preserve"> silver dihydrogen citrate (SDS) or </w:t>
      </w:r>
      <w:proofErr w:type="spellStart"/>
      <w:r>
        <w:t>levulinic</w:t>
      </w:r>
      <w:proofErr w:type="spellEnd"/>
      <w:r>
        <w:t xml:space="preserve"> acid (LEV) in combination or alone,</w:t>
      </w:r>
      <w:r w:rsidR="00A127FA">
        <w:rPr>
          <w:vertAlign w:val="superscript"/>
        </w:rPr>
        <w:t>230</w:t>
      </w:r>
      <w:r w:rsidRPr="001E543F">
        <w:rPr>
          <w:vertAlign w:val="superscript"/>
        </w:rPr>
        <w:t>,</w:t>
      </w:r>
      <w:r w:rsidR="00A127FA">
        <w:rPr>
          <w:vertAlign w:val="superscript"/>
        </w:rPr>
        <w:t>252</w:t>
      </w:r>
      <w:r w:rsidRPr="001E543F">
        <w:rPr>
          <w:vertAlign w:val="superscript"/>
        </w:rPr>
        <w:t>,</w:t>
      </w:r>
      <w:r w:rsidR="00A127FA">
        <w:rPr>
          <w:vertAlign w:val="superscript"/>
        </w:rPr>
        <w:t>256</w:t>
      </w:r>
      <w:r>
        <w:t xml:space="preserve"> trisodium phosphate</w:t>
      </w:r>
      <w:r w:rsidR="00A127FA">
        <w:rPr>
          <w:vertAlign w:val="superscript"/>
        </w:rPr>
        <w:t>233</w:t>
      </w:r>
      <w:r>
        <w:t xml:space="preserve"> and T36 (</w:t>
      </w:r>
      <w:r w:rsidRPr="001E543F">
        <w:t xml:space="preserve">70% </w:t>
      </w:r>
      <w:r w:rsidR="00E2003E">
        <w:t>ETA</w:t>
      </w:r>
      <w:r w:rsidRPr="001E543F">
        <w:t xml:space="preserve"> + 0.28% </w:t>
      </w:r>
      <w:proofErr w:type="spellStart"/>
      <w:r w:rsidRPr="001E543F">
        <w:t>phenylphenol</w:t>
      </w:r>
      <w:proofErr w:type="spellEnd"/>
      <w:r w:rsidRPr="001E543F">
        <w:t xml:space="preserve">, 0.01% CHG + 0.20% </w:t>
      </w:r>
      <w:r w:rsidR="00E2003E">
        <w:t>BAC</w:t>
      </w:r>
      <w:r>
        <w:t>)</w:t>
      </w:r>
      <w:r w:rsidR="00A127FA">
        <w:rPr>
          <w:vertAlign w:val="superscript"/>
        </w:rPr>
        <w:t>231</w:t>
      </w:r>
      <w:r w:rsidRPr="001E543F">
        <w:t xml:space="preserve"> </w:t>
      </w:r>
      <w:r>
        <w:t xml:space="preserve">disinfectants. The studies also assessed </w:t>
      </w:r>
      <w:proofErr w:type="spellStart"/>
      <w:r>
        <w:t>Serquet</w:t>
      </w:r>
      <w:proofErr w:type="spellEnd"/>
      <w:r>
        <w:t>® wipes (</w:t>
      </w:r>
      <w:r w:rsidRPr="001E543F">
        <w:t>Singlet-Oxygen-Producing Photosensitizer</w:t>
      </w:r>
      <w:r>
        <w:t>),</w:t>
      </w:r>
      <w:r w:rsidR="00A127FA">
        <w:rPr>
          <w:vertAlign w:val="superscript"/>
        </w:rPr>
        <w:t>257</w:t>
      </w:r>
      <w:r>
        <w:t xml:space="preserve"> copper surfaces</w:t>
      </w:r>
      <w:r w:rsidR="00A127FA">
        <w:rPr>
          <w:vertAlign w:val="superscript"/>
        </w:rPr>
        <w:t>258</w:t>
      </w:r>
      <w:r>
        <w:rPr>
          <w:vertAlign w:val="superscript"/>
        </w:rPr>
        <w:t>,</w:t>
      </w:r>
      <w:r w:rsidR="00A127FA">
        <w:rPr>
          <w:vertAlign w:val="superscript"/>
        </w:rPr>
        <w:t>260</w:t>
      </w:r>
      <w:r>
        <w:t xml:space="preserve"> and silver-impregnated cotton.</w:t>
      </w:r>
      <w:r w:rsidR="00A127FA">
        <w:rPr>
          <w:vertAlign w:val="superscript"/>
        </w:rPr>
        <w:t>259</w:t>
      </w:r>
      <w:r>
        <w:t xml:space="preserve"> These studies reported that peracetic acid (1000ppm),</w:t>
      </w:r>
      <w:r w:rsidR="00A127FA">
        <w:rPr>
          <w:vertAlign w:val="superscript"/>
        </w:rPr>
        <w:t>244</w:t>
      </w:r>
      <w:r>
        <w:t xml:space="preserve"> ozone,</w:t>
      </w:r>
      <w:r w:rsidR="00A127FA">
        <w:rPr>
          <w:vertAlign w:val="superscript"/>
        </w:rPr>
        <w:t>253</w:t>
      </w:r>
      <w:r>
        <w:t xml:space="preserve"> SDS/LEV</w:t>
      </w:r>
      <w:r w:rsidR="00A127FA">
        <w:rPr>
          <w:vertAlign w:val="superscript"/>
        </w:rPr>
        <w:t>230</w:t>
      </w:r>
      <w:r>
        <w:rPr>
          <w:vertAlign w:val="superscript"/>
        </w:rPr>
        <w:t>,</w:t>
      </w:r>
      <w:r w:rsidR="00A127FA">
        <w:rPr>
          <w:vertAlign w:val="superscript"/>
        </w:rPr>
        <w:t>256</w:t>
      </w:r>
      <w:r>
        <w:t xml:space="preserve"> trisodium phosphate at </w:t>
      </w:r>
      <w:r w:rsidR="005D2246">
        <w:t xml:space="preserve">a </w:t>
      </w:r>
      <w:r>
        <w:t xml:space="preserve">concentration </w:t>
      </w:r>
      <w:r w:rsidR="005D2246">
        <w:t xml:space="preserve">of </w:t>
      </w:r>
      <w:r>
        <w:t>at least 2% (FCV but not MNV),</w:t>
      </w:r>
      <w:r w:rsidR="00A127FA">
        <w:rPr>
          <w:vertAlign w:val="superscript"/>
        </w:rPr>
        <w:t>233</w:t>
      </w:r>
      <w:r>
        <w:t xml:space="preserve"> T</w:t>
      </w:r>
      <w:r w:rsidRPr="001E543F">
        <w:rPr>
          <w:vertAlign w:val="superscript"/>
        </w:rPr>
        <w:t>3</w:t>
      </w:r>
      <w:r>
        <w:t>6,</w:t>
      </w:r>
      <w:r w:rsidR="00A127FA">
        <w:rPr>
          <w:vertAlign w:val="superscript"/>
        </w:rPr>
        <w:t>231</w:t>
      </w:r>
      <w:r>
        <w:t xml:space="preserve"> and copper surfaces</w:t>
      </w:r>
      <w:r w:rsidR="00A127FA">
        <w:rPr>
          <w:vertAlign w:val="superscript"/>
        </w:rPr>
        <w:t>255</w:t>
      </w:r>
      <w:r w:rsidRPr="001E543F">
        <w:rPr>
          <w:vertAlign w:val="superscript"/>
        </w:rPr>
        <w:t>,</w:t>
      </w:r>
      <w:r w:rsidR="00A127FA">
        <w:rPr>
          <w:vertAlign w:val="superscript"/>
        </w:rPr>
        <w:t>258</w:t>
      </w:r>
      <w:r>
        <w:t xml:space="preserve"> were somewhat effective in removing or inactivating HNV and its surrogates. Other studies reported that ozone with organic soiling,</w:t>
      </w:r>
      <w:r w:rsidR="00A127FA">
        <w:rPr>
          <w:vertAlign w:val="superscript"/>
        </w:rPr>
        <w:t>254</w:t>
      </w:r>
      <w:r>
        <w:t xml:space="preserve"> SDS or LEV alone,</w:t>
      </w:r>
      <w:r w:rsidR="00A127FA">
        <w:rPr>
          <w:vertAlign w:val="superscript"/>
        </w:rPr>
        <w:t>252</w:t>
      </w:r>
      <w:r w:rsidRPr="001E543F">
        <w:rPr>
          <w:vertAlign w:val="superscript"/>
        </w:rPr>
        <w:t>,</w:t>
      </w:r>
      <w:r w:rsidR="00A127FA">
        <w:rPr>
          <w:vertAlign w:val="superscript"/>
        </w:rPr>
        <w:t>255</w:t>
      </w:r>
      <w:r w:rsidRPr="001E543F">
        <w:rPr>
          <w:vertAlign w:val="superscript"/>
        </w:rPr>
        <w:t>,</w:t>
      </w:r>
      <w:r w:rsidR="00A127FA">
        <w:rPr>
          <w:vertAlign w:val="superscript"/>
        </w:rPr>
        <w:t>256</w:t>
      </w:r>
      <w:r>
        <w:t xml:space="preserve"> </w:t>
      </w:r>
      <w:proofErr w:type="spellStart"/>
      <w:r>
        <w:t>Serquet</w:t>
      </w:r>
      <w:proofErr w:type="spellEnd"/>
      <w:r>
        <w:t>® wipes</w:t>
      </w:r>
      <w:r w:rsidR="00A127FA">
        <w:rPr>
          <w:vertAlign w:val="superscript"/>
        </w:rPr>
        <w:t>257</w:t>
      </w:r>
      <w:r>
        <w:t xml:space="preserve"> and silver impregnated cotton were not effective. These however were small, isolated studies which were only performed in laboratory settings. Epidemiological studies would be needed to assess their effectiveness and feasibility in outbreak situations. Additionally, one study assessed the ability of different types of cloth to remove MNV and FCV from acrylic and stainless steel surfaces.</w:t>
      </w:r>
      <w:r w:rsidR="00A127FA">
        <w:rPr>
          <w:vertAlign w:val="superscript"/>
        </w:rPr>
        <w:t>261</w:t>
      </w:r>
      <w:r>
        <w:t xml:space="preserve"> Neither of these cloths were able to completely remove MNV and FCV from the surfaces but two types of cloths with cotton (70%) and cellulose as well as microfibre cloths removed significantly more virus than non-woven and terry cotton cloths. </w:t>
      </w:r>
    </w:p>
    <w:p w14:paraId="74692659" w14:textId="77777777" w:rsidR="005D2246" w:rsidRDefault="005D2246" w:rsidP="00CF7116">
      <w:pPr>
        <w:pStyle w:val="Heading2"/>
        <w:spacing w:line="276" w:lineRule="auto"/>
        <w:rPr>
          <w:rFonts w:eastAsia="Times New Roman"/>
        </w:rPr>
      </w:pPr>
      <w:r w:rsidRPr="00D616E0">
        <w:rPr>
          <w:rFonts w:eastAsia="Times New Roman"/>
        </w:rPr>
        <w:t>Fabrics</w:t>
      </w:r>
    </w:p>
    <w:p w14:paraId="00F1158E" w14:textId="0A3F27F5" w:rsidR="005D2246" w:rsidRPr="00906DF5" w:rsidRDefault="005D2246" w:rsidP="00CF7116">
      <w:pPr>
        <w:pStyle w:val="Heading3"/>
        <w:spacing w:line="276" w:lineRule="auto"/>
      </w:pPr>
      <w:r w:rsidRPr="00906DF5">
        <w:t>Sodium hypochlorite</w:t>
      </w:r>
      <w:r w:rsidR="00E2003E">
        <w:t xml:space="preserve"> (NaCl-)</w:t>
      </w:r>
    </w:p>
    <w:p w14:paraId="3BD48762" w14:textId="28199957" w:rsidR="005D2246" w:rsidRDefault="005D2246" w:rsidP="00CF7116">
      <w:pPr>
        <w:spacing w:before="240" w:line="276" w:lineRule="auto"/>
      </w:pPr>
      <w:r w:rsidRPr="0095272F">
        <w:t xml:space="preserve">There was </w:t>
      </w:r>
      <w:r w:rsidRPr="005D2246">
        <w:t>very weak evidence</w:t>
      </w:r>
      <w:r w:rsidRPr="0095272F">
        <w:t xml:space="preserve"> </w:t>
      </w:r>
      <w:r>
        <w:t>from one outbreak study,</w:t>
      </w:r>
      <w:r w:rsidR="00613291">
        <w:rPr>
          <w:vertAlign w:val="superscript"/>
        </w:rPr>
        <w:t>31</w:t>
      </w:r>
      <w:r>
        <w:t xml:space="preserve"> which reported using </w:t>
      </w:r>
      <w:r w:rsidR="00E2003E">
        <w:t>NaCl-</w:t>
      </w:r>
      <w:r>
        <w:t xml:space="preserve"> on soft furnishings during an outbreak in hospital. This was a large outbreak which affected 164 cases, </w:t>
      </w:r>
      <w:r>
        <w:lastRenderedPageBreak/>
        <w:t xml:space="preserve">lasting 18 days. The authors reported that the initial interventions were not effective and that cases continued at the same rate. As a part of enhanced control measures, a thorough disinfection was carried out and the reported disinfectant was 2% (2000ppm) </w:t>
      </w:r>
      <w:r w:rsidR="00E2003E">
        <w:t>NaCl-</w:t>
      </w:r>
      <w:r>
        <w:t>, which was used on all surfaces including carpets, curtains and walls. Following the introduction of the enhanced controlled measures, the incidence of new cases decreased. The outbreak continued for further</w:t>
      </w:r>
      <w:r w:rsidR="001128A6">
        <w:t xml:space="preserve"> eleven </w:t>
      </w:r>
      <w:r>
        <w:t xml:space="preserve">days affecting 60 cases. The authors did not comment on whether </w:t>
      </w:r>
      <w:r w:rsidR="00E2003E">
        <w:t>NaCl-</w:t>
      </w:r>
      <w:r>
        <w:t xml:space="preserve"> damaged or influenced the appearance of any of the soft furnishings.</w:t>
      </w:r>
    </w:p>
    <w:p w14:paraId="635A872D" w14:textId="504BECDE" w:rsidR="005D2246" w:rsidRDefault="005D2246" w:rsidP="00CF7116">
      <w:pPr>
        <w:spacing w:before="240" w:line="276" w:lineRule="auto"/>
      </w:pPr>
      <w:r w:rsidRPr="0095272F">
        <w:t>No studies were found in</w:t>
      </w:r>
      <w:r>
        <w:t xml:space="preserve"> the existing literature that assessed the effectiveness of using </w:t>
      </w:r>
      <w:r w:rsidR="00E2003E">
        <w:t>NaCl-</w:t>
      </w:r>
      <w:r>
        <w:t xml:space="preserve"> for disinfecting soft furnishings during </w:t>
      </w:r>
      <w:r w:rsidR="00F154F2">
        <w:t>n</w:t>
      </w:r>
      <w:r>
        <w:t xml:space="preserve">orovirus outbreaks outside healthcare settings. </w:t>
      </w:r>
    </w:p>
    <w:p w14:paraId="2300C714" w14:textId="6394CD8D" w:rsidR="005D2246" w:rsidRDefault="005D2246" w:rsidP="00CF7116">
      <w:pPr>
        <w:spacing w:before="240" w:line="276" w:lineRule="auto"/>
      </w:pPr>
      <w:bookmarkStart w:id="21" w:name="_Hlk107469346"/>
      <w:r w:rsidRPr="0095272F">
        <w:t xml:space="preserve">There was </w:t>
      </w:r>
      <w:r w:rsidRPr="005D2246">
        <w:t>weak evidence</w:t>
      </w:r>
      <w:r w:rsidRPr="0095272F">
        <w:t xml:space="preserve"> </w:t>
      </w:r>
      <w:r>
        <w:t>from two laboratory and simulation studies</w:t>
      </w:r>
      <w:r w:rsidR="00613291">
        <w:rPr>
          <w:vertAlign w:val="superscript"/>
        </w:rPr>
        <w:t>227,237</w:t>
      </w:r>
      <w:r>
        <w:t xml:space="preserve"> </w:t>
      </w:r>
      <w:r w:rsidRPr="00F25D61">
        <w:t xml:space="preserve">which </w:t>
      </w:r>
      <w:r>
        <w:t xml:space="preserve">reported the effect of </w:t>
      </w:r>
      <w:r w:rsidR="00E2003E">
        <w:t>NaCl-</w:t>
      </w:r>
      <w:r>
        <w:t xml:space="preserve"> disinfection on different types of fabric. </w:t>
      </w:r>
      <w:bookmarkStart w:id="22" w:name="_Hlk107433696"/>
      <w:bookmarkEnd w:id="21"/>
      <w:r w:rsidRPr="00B41264">
        <w:t>O</w:t>
      </w:r>
      <w:r>
        <w:t>ne study</w:t>
      </w:r>
      <w:r w:rsidR="00613291">
        <w:rPr>
          <w:vertAlign w:val="superscript"/>
        </w:rPr>
        <w:t>227</w:t>
      </w:r>
      <w:r>
        <w:t xml:space="preserve"> o</w:t>
      </w:r>
      <w:r w:rsidRPr="00B41264">
        <w:t xml:space="preserve">btained samples of frequently touched surfaces on </w:t>
      </w:r>
      <w:r>
        <w:t>an</w:t>
      </w:r>
      <w:r w:rsidRPr="00B41264">
        <w:t xml:space="preserve"> airplane</w:t>
      </w:r>
      <w:r>
        <w:t xml:space="preserve"> which included</w:t>
      </w:r>
      <w:r w:rsidRPr="00B41264">
        <w:t xml:space="preserve"> leather seat and </w:t>
      </w:r>
      <w:r>
        <w:t xml:space="preserve">a fabric portion of the </w:t>
      </w:r>
      <w:r w:rsidRPr="00B41264">
        <w:t xml:space="preserve">seatbelt. Samples </w:t>
      </w:r>
      <w:r>
        <w:t xml:space="preserve">were </w:t>
      </w:r>
      <w:r w:rsidRPr="00B41264">
        <w:t xml:space="preserve">cut into small coupons </w:t>
      </w:r>
      <w:r>
        <w:t>and were</w:t>
      </w:r>
      <w:r w:rsidRPr="00B41264">
        <w:t xml:space="preserve"> inoculated with </w:t>
      </w:r>
      <w:r>
        <w:t>human norovirus (H</w:t>
      </w:r>
      <w:r w:rsidRPr="00B41264">
        <w:t>NV</w:t>
      </w:r>
      <w:r>
        <w:t>)</w:t>
      </w:r>
      <w:r w:rsidRPr="00B41264">
        <w:t xml:space="preserve"> with or without organic load (simulated gastric fluid to mimic vomitus). </w:t>
      </w:r>
      <w:r>
        <w:t>The authors reported that</w:t>
      </w:r>
      <w:r w:rsidRPr="00B41264">
        <w:t xml:space="preserve"> </w:t>
      </w:r>
      <w:r>
        <w:t xml:space="preserve">0.65% </w:t>
      </w:r>
      <w:r w:rsidR="00E2003E">
        <w:t>NaCl-</w:t>
      </w:r>
      <w:r w:rsidRPr="00B41264">
        <w:t xml:space="preserve"> </w:t>
      </w:r>
      <w:r>
        <w:t xml:space="preserve">applied for one minute was effective </w:t>
      </w:r>
      <w:r w:rsidR="00F154F2">
        <w:t>at</w:t>
      </w:r>
      <w:r>
        <w:t xml:space="preserve"> remov</w:t>
      </w:r>
      <w:r w:rsidR="00F154F2">
        <w:t>ing</w:t>
      </w:r>
      <w:r>
        <w:t xml:space="preserve"> HNV from</w:t>
      </w:r>
      <w:r w:rsidRPr="00B41264">
        <w:t xml:space="preserve"> leather</w:t>
      </w:r>
      <w:r>
        <w:t>,</w:t>
      </w:r>
      <w:r w:rsidRPr="00B41264">
        <w:t xml:space="preserve"> </w:t>
      </w:r>
      <w:r>
        <w:t>but not the seatbelt fabric</w:t>
      </w:r>
      <w:r w:rsidR="00F154F2">
        <w:t>,</w:t>
      </w:r>
      <w:r>
        <w:t xml:space="preserve"> </w:t>
      </w:r>
      <w:r w:rsidRPr="00B41264">
        <w:t>w</w:t>
      </w:r>
      <w:r>
        <w:t>hen</w:t>
      </w:r>
      <w:r w:rsidRPr="00B41264">
        <w:t xml:space="preserve"> organic soiling</w:t>
      </w:r>
      <w:r>
        <w:t xml:space="preserve"> was not present</w:t>
      </w:r>
      <w:r w:rsidRPr="00B41264">
        <w:t>.</w:t>
      </w:r>
      <w:r>
        <w:t xml:space="preserve"> However, </w:t>
      </w:r>
      <w:r w:rsidR="00E2003E">
        <w:t>NaCl-</w:t>
      </w:r>
      <w:r>
        <w:t xml:space="preserve"> was not effective in the presence of organic load. </w:t>
      </w:r>
      <w:bookmarkEnd w:id="22"/>
      <w:r>
        <w:t>Another study</w:t>
      </w:r>
      <w:r w:rsidR="00613291">
        <w:rPr>
          <w:vertAlign w:val="superscript"/>
        </w:rPr>
        <w:t>237</w:t>
      </w:r>
      <w:r>
        <w:t xml:space="preserve"> used polyester and cotton fabric samples which were contaminated with </w:t>
      </w:r>
      <w:r w:rsidR="00E2003E">
        <w:t>FCV</w:t>
      </w:r>
      <w:r>
        <w:t xml:space="preserve"> and </w:t>
      </w:r>
      <w:r w:rsidR="00E2003E">
        <w:t>MNV</w:t>
      </w:r>
      <w:r>
        <w:t xml:space="preserve"> and treated with 5% (5000ppm) </w:t>
      </w:r>
      <w:r w:rsidR="00E2003E">
        <w:t>NaCl-</w:t>
      </w:r>
      <w:r>
        <w:t xml:space="preserve"> for five minutes. The authors reported that complete inactivation (reported as mean log</w:t>
      </w:r>
      <w:r w:rsidRPr="00B41264">
        <w:rPr>
          <w:vertAlign w:val="subscript"/>
        </w:rPr>
        <w:t>10</w:t>
      </w:r>
      <w:r>
        <w:t xml:space="preserve"> reduction in the number of viral copies using a plaque assay) was achieved for both viruses and on both fabric types. Neither of the studies reported whether </w:t>
      </w:r>
      <w:r w:rsidR="00E2003E">
        <w:t>NaCl-</w:t>
      </w:r>
      <w:r>
        <w:t xml:space="preserve"> damaged or influenced the appearance of the fabrics. </w:t>
      </w:r>
    </w:p>
    <w:p w14:paraId="6FE21C29" w14:textId="77777777" w:rsidR="005D2246" w:rsidRPr="00906DF5" w:rsidRDefault="005D2246" w:rsidP="00CF7116">
      <w:pPr>
        <w:pStyle w:val="Heading3"/>
        <w:spacing w:line="276" w:lineRule="auto"/>
      </w:pPr>
      <w:r>
        <w:t>Quaternary ammonium compounds (QAC)</w:t>
      </w:r>
    </w:p>
    <w:p w14:paraId="505F3F30" w14:textId="5503645E" w:rsidR="005D2246" w:rsidRDefault="005D2246" w:rsidP="00CF7116">
      <w:pPr>
        <w:spacing w:before="240" w:line="276" w:lineRule="auto"/>
      </w:pPr>
      <w:r w:rsidRPr="0095272F">
        <w:t>No studies were found in</w:t>
      </w:r>
      <w:r>
        <w:t xml:space="preserve"> the existing literature that assessed the effectiveness of using QAC for disinfecting soft furnishings during norovirus outbreaks in any setting. </w:t>
      </w:r>
    </w:p>
    <w:p w14:paraId="7107FCA9" w14:textId="715F09AE" w:rsidR="005D2246" w:rsidRDefault="005D2246" w:rsidP="00CF7116">
      <w:pPr>
        <w:spacing w:before="240" w:line="276" w:lineRule="auto"/>
      </w:pPr>
      <w:r w:rsidRPr="0095272F">
        <w:t xml:space="preserve">There was </w:t>
      </w:r>
      <w:r w:rsidRPr="005D2246">
        <w:t>weak evidence</w:t>
      </w:r>
      <w:r w:rsidRPr="0095272F">
        <w:t xml:space="preserve"> </w:t>
      </w:r>
      <w:r>
        <w:t>from two laboratory and simulation studies</w:t>
      </w:r>
      <w:r w:rsidR="00613291">
        <w:rPr>
          <w:vertAlign w:val="superscript"/>
        </w:rPr>
        <w:t>227</w:t>
      </w:r>
      <w:r>
        <w:rPr>
          <w:vertAlign w:val="superscript"/>
        </w:rPr>
        <w:t>,</w:t>
      </w:r>
      <w:r w:rsidR="00613291">
        <w:rPr>
          <w:vertAlign w:val="superscript"/>
        </w:rPr>
        <w:t>245</w:t>
      </w:r>
      <w:r>
        <w:t xml:space="preserve"> </w:t>
      </w:r>
      <w:r w:rsidRPr="00F25D61">
        <w:t xml:space="preserve">which </w:t>
      </w:r>
      <w:r>
        <w:t>reported the effect of QAC</w:t>
      </w:r>
      <w:r w:rsidRPr="00B31CF2">
        <w:t xml:space="preserve"> </w:t>
      </w:r>
      <w:r>
        <w:t xml:space="preserve">for inactivation of HNV or its surrogates on different types of fabric. </w:t>
      </w:r>
      <w:r w:rsidRPr="00B41264">
        <w:t>O</w:t>
      </w:r>
      <w:r>
        <w:t>ne study</w:t>
      </w:r>
      <w:r w:rsidR="00613291">
        <w:rPr>
          <w:vertAlign w:val="superscript"/>
        </w:rPr>
        <w:t>227</w:t>
      </w:r>
      <w:r>
        <w:t xml:space="preserve"> o</w:t>
      </w:r>
      <w:r w:rsidRPr="00B41264">
        <w:t xml:space="preserve">btained samples of frequently touched surfaces on </w:t>
      </w:r>
      <w:r>
        <w:t>an</w:t>
      </w:r>
      <w:r w:rsidRPr="00B41264">
        <w:t xml:space="preserve"> airplane</w:t>
      </w:r>
      <w:r>
        <w:t xml:space="preserve"> which included</w:t>
      </w:r>
      <w:r w:rsidRPr="00B41264">
        <w:t xml:space="preserve"> leather seat and </w:t>
      </w:r>
      <w:r>
        <w:t xml:space="preserve">a fabric portion of the </w:t>
      </w:r>
      <w:r w:rsidRPr="00B41264">
        <w:t xml:space="preserve">seatbelt. </w:t>
      </w:r>
      <w:r>
        <w:t>Application of broad-spectrum QAC (</w:t>
      </w:r>
      <w:r w:rsidRPr="00B31CF2">
        <w:t>0.105% dimethyl benzyl ammonium chlorides + 0.105% dimethyl ethyl benzyl ammonium chlorides</w:t>
      </w:r>
      <w:r>
        <w:t>) for ten minutes did not result in removal of HNV from these samples. Organic load presence did not influence these results. Another study,</w:t>
      </w:r>
      <w:r w:rsidR="00613291">
        <w:rPr>
          <w:vertAlign w:val="superscript"/>
        </w:rPr>
        <w:t>245</w:t>
      </w:r>
      <w:r>
        <w:t xml:space="preserve"> which assessed the effectiveness of QAC (</w:t>
      </w:r>
      <w:r w:rsidRPr="00B31CF2">
        <w:t xml:space="preserve">10% </w:t>
      </w:r>
      <w:r>
        <w:t>s</w:t>
      </w:r>
      <w:r w:rsidRPr="00B31CF2">
        <w:t>odium bicarbonate + 10% dimethyl benzyl ammonium chloride</w:t>
      </w:r>
      <w:r>
        <w:t>) on FCV inoculated onto different types of fabrics and carpets reported that the disinfectant was not able to inactivate the virus sufficiently (less than 2 log</w:t>
      </w:r>
      <w:r w:rsidRPr="00B31CF2">
        <w:rPr>
          <w:vertAlign w:val="subscript"/>
        </w:rPr>
        <w:t>10</w:t>
      </w:r>
      <w:r>
        <w:t xml:space="preserve"> inactivation). Application time (</w:t>
      </w:r>
      <w:r w:rsidR="001128A6">
        <w:t>one, five and ten minutes</w:t>
      </w:r>
      <w:r>
        <w:t xml:space="preserve">) did not influence the results and for some types of fabric longer duration resulted in less virus being inactivated. </w:t>
      </w:r>
    </w:p>
    <w:p w14:paraId="5A74D2A2" w14:textId="77777777" w:rsidR="005D2246" w:rsidRPr="00A07105" w:rsidRDefault="005D2246" w:rsidP="00CF7116">
      <w:pPr>
        <w:pStyle w:val="Heading3"/>
        <w:spacing w:line="276" w:lineRule="auto"/>
      </w:pPr>
      <w:r w:rsidRPr="00A07105">
        <w:t>Alcohols</w:t>
      </w:r>
    </w:p>
    <w:p w14:paraId="4EC178C7" w14:textId="77777777" w:rsidR="005D2246" w:rsidRDefault="005D2246" w:rsidP="00CF7116">
      <w:pPr>
        <w:spacing w:before="240" w:line="276" w:lineRule="auto"/>
      </w:pPr>
      <w:r w:rsidRPr="0095272F">
        <w:t>No studies were found in</w:t>
      </w:r>
      <w:r>
        <w:t xml:space="preserve"> the existing literature that assessed the effectiveness of using alcohol-based disinfectants for disinfecting soft furnishings during norovirus outbreaks in any setting. </w:t>
      </w:r>
    </w:p>
    <w:p w14:paraId="6F4341A8" w14:textId="5F63FC56" w:rsidR="005D2246" w:rsidRDefault="005D2246" w:rsidP="00CF7116">
      <w:pPr>
        <w:spacing w:before="240" w:line="276" w:lineRule="auto"/>
      </w:pPr>
      <w:r w:rsidRPr="0095272F">
        <w:lastRenderedPageBreak/>
        <w:t xml:space="preserve">There was </w:t>
      </w:r>
      <w:r>
        <w:t xml:space="preserve">very </w:t>
      </w:r>
      <w:r w:rsidRPr="005D2246">
        <w:t>weak evidence</w:t>
      </w:r>
      <w:r w:rsidRPr="0095272F">
        <w:t xml:space="preserve"> </w:t>
      </w:r>
      <w:r>
        <w:t>from one laboratory study,</w:t>
      </w:r>
      <w:r w:rsidR="00613291">
        <w:rPr>
          <w:vertAlign w:val="superscript"/>
        </w:rPr>
        <w:t>245</w:t>
      </w:r>
      <w:r>
        <w:t xml:space="preserve"> which assessed the effectiveness of 70% </w:t>
      </w:r>
      <w:r w:rsidR="00E2003E">
        <w:t>IPA</w:t>
      </w:r>
      <w:r>
        <w:t xml:space="preserve"> on FCV inoculated onto different types of fabrics and carpets. This study reported that except on a 100% cotton fabric where more than 2 log</w:t>
      </w:r>
      <w:r w:rsidRPr="00B31CF2">
        <w:rPr>
          <w:vertAlign w:val="subscript"/>
        </w:rPr>
        <w:t>10</w:t>
      </w:r>
      <w:r>
        <w:t xml:space="preserve"> inactivation was achieved after five or ten minutes exposure, IPA was not effective in inactivating the virus. These results were similar for different types of fabrics and the duration of the application time did not always result in more virus being inactivated. </w:t>
      </w:r>
    </w:p>
    <w:p w14:paraId="023AC24C" w14:textId="77777777" w:rsidR="005D2246" w:rsidRPr="00906DF5" w:rsidRDefault="005D2246" w:rsidP="00CF7116">
      <w:pPr>
        <w:pStyle w:val="Heading3"/>
        <w:spacing w:line="276" w:lineRule="auto"/>
      </w:pPr>
      <w:r>
        <w:t>Phenolic disinfectants</w:t>
      </w:r>
    </w:p>
    <w:p w14:paraId="233C7F41" w14:textId="77777777" w:rsidR="005D2246" w:rsidRDefault="005D2246" w:rsidP="00CF7116">
      <w:pPr>
        <w:spacing w:before="240" w:line="276" w:lineRule="auto"/>
      </w:pPr>
      <w:r w:rsidRPr="0095272F">
        <w:t>No studies were found in</w:t>
      </w:r>
      <w:r>
        <w:t xml:space="preserve"> the existing literature that assessed the effectiveness of using phenolic compounds for disinfecting soft furnishings during norovirus outbreaks in any setting. </w:t>
      </w:r>
    </w:p>
    <w:p w14:paraId="62EAA972" w14:textId="2295316C" w:rsidR="005D2246" w:rsidRDefault="005D2246" w:rsidP="00CF7116">
      <w:pPr>
        <w:spacing w:before="240" w:line="276" w:lineRule="auto"/>
      </w:pPr>
      <w:r w:rsidRPr="0095272F">
        <w:t xml:space="preserve">There was </w:t>
      </w:r>
      <w:r>
        <w:t xml:space="preserve">very </w:t>
      </w:r>
      <w:r w:rsidRPr="005D2246">
        <w:t>weak evidence</w:t>
      </w:r>
      <w:r w:rsidRPr="0095272F">
        <w:t xml:space="preserve"> </w:t>
      </w:r>
      <w:r>
        <w:t>from one laboratory study,</w:t>
      </w:r>
      <w:r w:rsidR="00613291">
        <w:rPr>
          <w:vertAlign w:val="superscript"/>
        </w:rPr>
        <w:t>245</w:t>
      </w:r>
      <w:r>
        <w:t xml:space="preserve"> which assessed the effectiveness of phenolic compounds (</w:t>
      </w:r>
      <w:proofErr w:type="spellStart"/>
      <w:r w:rsidRPr="00C87FD4">
        <w:t>Microbac</w:t>
      </w:r>
      <w:proofErr w:type="spellEnd"/>
      <w:r w:rsidRPr="00C87FD4">
        <w:t>-II</w:t>
      </w:r>
      <w:r>
        <w:t xml:space="preserve">: </w:t>
      </w:r>
      <w:r w:rsidRPr="00C87FD4">
        <w:t>4.75% o-benzyl p-chlorophenol + 4.75% o-</w:t>
      </w:r>
      <w:proofErr w:type="spellStart"/>
      <w:r w:rsidRPr="00C87FD4">
        <w:t>phenylphenol</w:t>
      </w:r>
      <w:proofErr w:type="spellEnd"/>
      <w:r>
        <w:t xml:space="preserve">) on FCV inoculated onto different types of fabrics and carpets. This study reported that the disinfectant was not effective. With exception of polyester fabric, where 99.9% inactivation of the virus was achieved, </w:t>
      </w:r>
      <w:proofErr w:type="spellStart"/>
      <w:r>
        <w:t>Microbac</w:t>
      </w:r>
      <w:proofErr w:type="spellEnd"/>
      <w:r>
        <w:t xml:space="preserve">-II resulted in </w:t>
      </w:r>
      <w:r w:rsidRPr="00C87FD4">
        <w:t>less than 2 log</w:t>
      </w:r>
      <w:r w:rsidRPr="00C87FD4">
        <w:rPr>
          <w:vertAlign w:val="subscript"/>
        </w:rPr>
        <w:t>10</w:t>
      </w:r>
      <w:r w:rsidRPr="00C87FD4">
        <w:t xml:space="preserve"> inactivation</w:t>
      </w:r>
      <w:r>
        <w:t xml:space="preserve"> of FCV regardless of the type of fabric or the</w:t>
      </w:r>
      <w:r w:rsidRPr="00C87FD4">
        <w:t xml:space="preserve"> </w:t>
      </w:r>
      <w:r>
        <w:t>a</w:t>
      </w:r>
      <w:r w:rsidRPr="00C87FD4">
        <w:t>pplication time</w:t>
      </w:r>
      <w:r>
        <w:t>.</w:t>
      </w:r>
    </w:p>
    <w:p w14:paraId="5F735A2C" w14:textId="77777777" w:rsidR="005D2246" w:rsidRPr="00906DF5" w:rsidRDefault="005D2246" w:rsidP="00CF7116">
      <w:pPr>
        <w:pStyle w:val="Heading3"/>
        <w:spacing w:line="276" w:lineRule="auto"/>
      </w:pPr>
      <w:r>
        <w:t>Hydrogen peroxide (surface and vapour)</w:t>
      </w:r>
    </w:p>
    <w:p w14:paraId="67572911" w14:textId="77777777" w:rsidR="005D2246" w:rsidRDefault="005D2246" w:rsidP="00CF7116">
      <w:pPr>
        <w:spacing w:before="240" w:line="276" w:lineRule="auto"/>
      </w:pPr>
      <w:r w:rsidRPr="0095272F">
        <w:t>No studies were found in</w:t>
      </w:r>
      <w:r>
        <w:t xml:space="preserve"> the existing literature that assessed the effectiveness of using hydrogen peroxide for disinfecting soft furnishings during norovirus outbreaks in any setting. </w:t>
      </w:r>
    </w:p>
    <w:p w14:paraId="15CF5E46" w14:textId="7D5948DF" w:rsidR="005D2246" w:rsidRDefault="005D2246" w:rsidP="00CF7116">
      <w:pPr>
        <w:spacing w:before="240" w:line="276" w:lineRule="auto"/>
      </w:pPr>
      <w:r w:rsidRPr="0095272F">
        <w:t xml:space="preserve">There was </w:t>
      </w:r>
      <w:r w:rsidRPr="005D2246">
        <w:t>weak evidence</w:t>
      </w:r>
      <w:r w:rsidRPr="0095272F">
        <w:t xml:space="preserve"> </w:t>
      </w:r>
      <w:r>
        <w:t>from two laboratory studies</w:t>
      </w:r>
      <w:r w:rsidR="00613291">
        <w:rPr>
          <w:vertAlign w:val="superscript"/>
        </w:rPr>
        <w:t>227</w:t>
      </w:r>
      <w:r>
        <w:rPr>
          <w:vertAlign w:val="superscript"/>
        </w:rPr>
        <w:t>,</w:t>
      </w:r>
      <w:r w:rsidR="00613291">
        <w:rPr>
          <w:vertAlign w:val="superscript"/>
        </w:rPr>
        <w:t>237</w:t>
      </w:r>
      <w:r>
        <w:t xml:space="preserve"> </w:t>
      </w:r>
      <w:r w:rsidRPr="00F25D61">
        <w:t xml:space="preserve">which </w:t>
      </w:r>
      <w:r>
        <w:t xml:space="preserve">reported the effect of </w:t>
      </w:r>
      <w:r w:rsidR="00E2003E">
        <w:t>NaCl-</w:t>
      </w:r>
      <w:r>
        <w:t xml:space="preserve"> disinfection on different types of fabric. </w:t>
      </w:r>
      <w:r w:rsidRPr="00B41264">
        <w:t>O</w:t>
      </w:r>
      <w:r>
        <w:t>ne study</w:t>
      </w:r>
      <w:r w:rsidR="00613291">
        <w:rPr>
          <w:vertAlign w:val="superscript"/>
        </w:rPr>
        <w:t>227</w:t>
      </w:r>
      <w:r>
        <w:t xml:space="preserve"> o</w:t>
      </w:r>
      <w:r w:rsidRPr="00B41264">
        <w:t xml:space="preserve">btained samples of frequently touched surfaces on </w:t>
      </w:r>
      <w:r>
        <w:t>an</w:t>
      </w:r>
      <w:r w:rsidRPr="00B41264">
        <w:t xml:space="preserve"> airplane</w:t>
      </w:r>
      <w:r>
        <w:t xml:space="preserve"> which included</w:t>
      </w:r>
      <w:r w:rsidRPr="00B41264">
        <w:t xml:space="preserve"> leather seat and </w:t>
      </w:r>
      <w:r>
        <w:t xml:space="preserve">a fabric portion of the </w:t>
      </w:r>
      <w:r w:rsidRPr="00B41264">
        <w:t xml:space="preserve">seatbelt. Samples </w:t>
      </w:r>
      <w:r>
        <w:t xml:space="preserve">were </w:t>
      </w:r>
      <w:r w:rsidRPr="00B41264">
        <w:t xml:space="preserve">cut into small coupons </w:t>
      </w:r>
      <w:r>
        <w:t>and were</w:t>
      </w:r>
      <w:r w:rsidRPr="00B41264">
        <w:t xml:space="preserve"> inoculated with </w:t>
      </w:r>
      <w:r>
        <w:t>H</w:t>
      </w:r>
      <w:r w:rsidRPr="00B41264">
        <w:t xml:space="preserve">NV with or without organic load (simulated gastric fluid to mimic vomitus). </w:t>
      </w:r>
      <w:r>
        <w:t>The authors reported that</w:t>
      </w:r>
      <w:r w:rsidRPr="00B41264">
        <w:t xml:space="preserve"> </w:t>
      </w:r>
      <w:r>
        <w:t>application of 1.4% hydrogen peroxide for one minute had no effect regardless of whether organic soiling was present. Another study</w:t>
      </w:r>
      <w:r w:rsidR="00613291">
        <w:rPr>
          <w:vertAlign w:val="superscript"/>
        </w:rPr>
        <w:t>237</w:t>
      </w:r>
      <w:r>
        <w:t xml:space="preserve"> used polyester and cotton fabric samples which were contaminated with FCV and MNV and fogged with 4.25% of accelerated hydrogen peroxide </w:t>
      </w:r>
      <w:r w:rsidR="00E2003E">
        <w:t>NaCl-</w:t>
      </w:r>
      <w:r>
        <w:t xml:space="preserve"> for five minutes. The authors reported that AHP completely inactivated FCV from polyester and cotton (5.1 and 3.1x log</w:t>
      </w:r>
      <w:r w:rsidRPr="00A905BD">
        <w:rPr>
          <w:vertAlign w:val="subscript"/>
        </w:rPr>
        <w:t>10</w:t>
      </w:r>
      <w:r>
        <w:t xml:space="preserve"> respectively) but had no effect on MNV inoculated on either type of fabric (0.57 and 0.17x log</w:t>
      </w:r>
      <w:r w:rsidRPr="00A905BD">
        <w:rPr>
          <w:vertAlign w:val="subscript"/>
        </w:rPr>
        <w:t>10</w:t>
      </w:r>
      <w:r>
        <w:t xml:space="preserve"> respectively). </w:t>
      </w:r>
    </w:p>
    <w:p w14:paraId="4F6068E3" w14:textId="77777777" w:rsidR="005D2246" w:rsidRPr="00906DF5" w:rsidRDefault="005D2246" w:rsidP="00CF7116">
      <w:pPr>
        <w:pStyle w:val="Heading3"/>
        <w:spacing w:line="276" w:lineRule="auto"/>
      </w:pPr>
      <w:r>
        <w:t xml:space="preserve">Aldehydes </w:t>
      </w:r>
    </w:p>
    <w:p w14:paraId="40A4B4EA" w14:textId="77777777" w:rsidR="005D2246" w:rsidRDefault="005D2246" w:rsidP="00CF7116">
      <w:pPr>
        <w:spacing w:before="240" w:line="276" w:lineRule="auto"/>
      </w:pPr>
      <w:r w:rsidRPr="0095272F">
        <w:t>No studies were found in</w:t>
      </w:r>
      <w:r>
        <w:t xml:space="preserve"> the existing literature that assessed the effectiveness of using aldehydes for disinfecting soft furnishings during norovirus outbreaks in any setting. </w:t>
      </w:r>
    </w:p>
    <w:p w14:paraId="09BD56CB" w14:textId="2A77D277" w:rsidR="005D2246" w:rsidRPr="00EB1F19" w:rsidRDefault="005D2246" w:rsidP="00CF7116">
      <w:pPr>
        <w:spacing w:before="240" w:line="276" w:lineRule="auto"/>
      </w:pPr>
      <w:r w:rsidRPr="0095272F">
        <w:t xml:space="preserve">There was </w:t>
      </w:r>
      <w:r>
        <w:t xml:space="preserve">very </w:t>
      </w:r>
      <w:r w:rsidRPr="005D2246">
        <w:t>weak evidence</w:t>
      </w:r>
      <w:r w:rsidRPr="0095272F">
        <w:t xml:space="preserve"> </w:t>
      </w:r>
      <w:r>
        <w:t>from one laboratory study,</w:t>
      </w:r>
      <w:r w:rsidR="00613291">
        <w:rPr>
          <w:vertAlign w:val="superscript"/>
        </w:rPr>
        <w:t>245</w:t>
      </w:r>
      <w:r>
        <w:t xml:space="preserve"> which assessed the effectiveness of </w:t>
      </w:r>
      <w:proofErr w:type="spellStart"/>
      <w:r w:rsidRPr="000A240E">
        <w:t>metricide</w:t>
      </w:r>
      <w:proofErr w:type="spellEnd"/>
      <w:r w:rsidRPr="000A240E">
        <w:t xml:space="preserve"> (2.6% glutaraldehyde)</w:t>
      </w:r>
      <w:r>
        <w:t xml:space="preserve"> on FCV inoculated onto different types of fabrics and carpets. The study reported that except on polyester and olein/nylon which required at least five and ten minutes of contact time respectively, glutaraldehyde inactivated 2x log</w:t>
      </w:r>
      <w:r w:rsidRPr="00EB1F19">
        <w:rPr>
          <w:vertAlign w:val="subscript"/>
        </w:rPr>
        <w:t>10</w:t>
      </w:r>
      <w:r>
        <w:t xml:space="preserve"> FCV on all types of fabric within one minute. </w:t>
      </w:r>
    </w:p>
    <w:p w14:paraId="3FB75ECC" w14:textId="77777777" w:rsidR="005D2246" w:rsidRPr="00906DF5" w:rsidRDefault="005D2246" w:rsidP="00CF7116">
      <w:pPr>
        <w:pStyle w:val="Heading3"/>
        <w:spacing w:line="276" w:lineRule="auto"/>
      </w:pPr>
      <w:r>
        <w:lastRenderedPageBreak/>
        <w:t>Steam</w:t>
      </w:r>
    </w:p>
    <w:p w14:paraId="78BC82A9" w14:textId="48FE097E" w:rsidR="005D2246" w:rsidRDefault="005D2246" w:rsidP="00CF7116">
      <w:pPr>
        <w:spacing w:before="240" w:line="276" w:lineRule="auto"/>
      </w:pPr>
      <w:r w:rsidRPr="0095272F">
        <w:t xml:space="preserve">There was </w:t>
      </w:r>
      <w:r>
        <w:t xml:space="preserve">very </w:t>
      </w:r>
      <w:r w:rsidRPr="005D2246">
        <w:t>weak evidence</w:t>
      </w:r>
      <w:r w:rsidRPr="0095272F">
        <w:t xml:space="preserve"> </w:t>
      </w:r>
      <w:r>
        <w:t>from one outbreak study,</w:t>
      </w:r>
      <w:r>
        <w:rPr>
          <w:vertAlign w:val="superscript"/>
        </w:rPr>
        <w:t>1</w:t>
      </w:r>
      <w:r w:rsidR="00613291">
        <w:rPr>
          <w:vertAlign w:val="superscript"/>
        </w:rPr>
        <w:t>9</w:t>
      </w:r>
      <w:r>
        <w:t xml:space="preserve"> which reported using steam on soft furnishings during an outbreak in hospital. This study described two outbreaks which occurred in one institution within 18 months of each other. The study reported that during the first outbreak, the ward staff were more complacent and that the control measures were not fully implemented. The authors gave an example where spilled faecal matter was not cleaned up from the carpet for 72 hours. In the second outbreak, the staff were reported to be more prepared and were able to introduce some control measures without the input from infection control team. There were also some additional control measures, including immediate steam cleaning of carpets, which were introduced in the second outbreak</w:t>
      </w:r>
      <w:r w:rsidRPr="009D7E49">
        <w:t>. The authors reported that despite similar attack rates in patients</w:t>
      </w:r>
      <w:r>
        <w:t xml:space="preserve"> (15 in outbreak 1 and</w:t>
      </w:r>
      <w:r w:rsidR="001128A6">
        <w:t xml:space="preserve"> twelve </w:t>
      </w:r>
      <w:r>
        <w:t>in outbreak 2)</w:t>
      </w:r>
      <w:r w:rsidRPr="009D7E49">
        <w:t xml:space="preserve"> and similar duration of both outbreaks</w:t>
      </w:r>
      <w:r>
        <w:t xml:space="preserve"> (14 and 16 days)</w:t>
      </w:r>
      <w:r w:rsidRPr="009D7E49">
        <w:t xml:space="preserve">, these additional interventions resulted in shorter ward closures </w:t>
      </w:r>
      <w:r>
        <w:t xml:space="preserve">(eleven and six) </w:t>
      </w:r>
      <w:r w:rsidRPr="009D7E49">
        <w:t xml:space="preserve">and lower </w:t>
      </w:r>
      <w:r>
        <w:t>incidence of infection</w:t>
      </w:r>
      <w:r w:rsidRPr="009D7E49">
        <w:t xml:space="preserve"> in staff</w:t>
      </w:r>
      <w:r>
        <w:t xml:space="preserve"> (25 and 12)</w:t>
      </w:r>
      <w:r w:rsidRPr="009D7E49">
        <w:t>.</w:t>
      </w:r>
    </w:p>
    <w:p w14:paraId="72ED8354" w14:textId="439C0B31" w:rsidR="005D2246" w:rsidRDefault="005D2246" w:rsidP="00CF7116">
      <w:pPr>
        <w:spacing w:before="240" w:line="276" w:lineRule="auto"/>
      </w:pPr>
      <w:r w:rsidRPr="0095272F">
        <w:t xml:space="preserve">There was </w:t>
      </w:r>
      <w:r>
        <w:t xml:space="preserve">very </w:t>
      </w:r>
      <w:r w:rsidRPr="005D2246">
        <w:t>weak evidence</w:t>
      </w:r>
      <w:r w:rsidRPr="0095272F">
        <w:t xml:space="preserve"> </w:t>
      </w:r>
      <w:r>
        <w:t>from two outbreak studies,</w:t>
      </w:r>
      <w:r w:rsidR="00613291">
        <w:rPr>
          <w:vertAlign w:val="superscript"/>
        </w:rPr>
        <w:t>44</w:t>
      </w:r>
      <w:r>
        <w:rPr>
          <w:vertAlign w:val="superscript"/>
        </w:rPr>
        <w:t>,</w:t>
      </w:r>
      <w:r w:rsidR="00613291">
        <w:rPr>
          <w:vertAlign w:val="superscript"/>
        </w:rPr>
        <w:t>160</w:t>
      </w:r>
      <w:r>
        <w:t xml:space="preserve"> which reported using steam on soft furnishings during a norovirus outbreak outside healthcare settings. The first outbreak</w:t>
      </w:r>
      <w:r w:rsidR="00613291">
        <w:rPr>
          <w:vertAlign w:val="superscript"/>
        </w:rPr>
        <w:t>44</w:t>
      </w:r>
      <w:r>
        <w:t xml:space="preserve"> occurred in a hotel following a wedding reception during which the index case vomited at dinner table and the toilet nearby. The outbreak, which lasted five days, affected a total of 98 cases, majority of whom were present at the wedding. However, there was evidence of transmission from the fomites as some staff and hotel guests who did not have any contact with the wedding guests also became ill. Steam cleaning of all soft furnishings was introduced as a part of control measures, and it was reported that after implementation of the interventions, the outbreak only lasted one more day and affected three cases. Another outbreak</w:t>
      </w:r>
      <w:r w:rsidR="00613291">
        <w:rPr>
          <w:vertAlign w:val="superscript"/>
        </w:rPr>
        <w:t>160</w:t>
      </w:r>
      <w:r>
        <w:t xml:space="preserve"> occurred on an airplane where at least five passengers and 29 staff became infected. </w:t>
      </w:r>
      <w:r w:rsidRPr="009D7E49">
        <w:t xml:space="preserve">Interviews with </w:t>
      </w:r>
      <w:r>
        <w:t xml:space="preserve">the </w:t>
      </w:r>
      <w:r w:rsidRPr="009D7E49">
        <w:t xml:space="preserve">crew identified a passenger who vomited </w:t>
      </w:r>
      <w:r>
        <w:t>and</w:t>
      </w:r>
      <w:r w:rsidRPr="009D7E49">
        <w:t xml:space="preserve"> soiled the carpet next to their seat. Vomitus</w:t>
      </w:r>
      <w:r>
        <w:t xml:space="preserve"> was</w:t>
      </w:r>
      <w:r w:rsidRPr="009D7E49">
        <w:t xml:space="preserve"> cleared and disposed of in the waste bin in a toilet. </w:t>
      </w:r>
      <w:r>
        <w:t>It was determined that there were nine</w:t>
      </w:r>
      <w:r w:rsidRPr="009D7E49">
        <w:t xml:space="preserve"> flights after the vomiting incident, </w:t>
      </w:r>
      <w:r>
        <w:t xml:space="preserve">with </w:t>
      </w:r>
      <w:r w:rsidRPr="009D7E49">
        <w:t xml:space="preserve">attack rates </w:t>
      </w:r>
      <w:r>
        <w:t xml:space="preserve">in staff being </w:t>
      </w:r>
      <w:r w:rsidRPr="009D7E49">
        <w:t xml:space="preserve">highest in the </w:t>
      </w:r>
      <w:r>
        <w:t>first</w:t>
      </w:r>
      <w:r w:rsidRPr="009D7E49">
        <w:t xml:space="preserve"> flight, gradually declin</w:t>
      </w:r>
      <w:r>
        <w:t>ing with time, with no staff being affected on the last flight. Since it was determined that p</w:t>
      </w:r>
      <w:r w:rsidRPr="009D7E49">
        <w:t xml:space="preserve">erson-to-person transmission </w:t>
      </w:r>
      <w:r>
        <w:t xml:space="preserve">was </w:t>
      </w:r>
      <w:r w:rsidRPr="009D7E49">
        <w:t>not possible</w:t>
      </w:r>
      <w:r>
        <w:t>,</w:t>
      </w:r>
      <w:r w:rsidRPr="009D7E49">
        <w:t xml:space="preserve"> as cases did not meet each other</w:t>
      </w:r>
      <w:r>
        <w:t>, fomites were implicated as a source of infection</w:t>
      </w:r>
      <w:r w:rsidRPr="009D7E49">
        <w:t>.</w:t>
      </w:r>
      <w:r>
        <w:t xml:space="preserve"> As a part of control measures, the airplane was disinfected with a carpet steam-cleaned. There were no further reports of infected cases, although the effectiveness of the disinfection cannot be definitely established since there were also no reported cases on the last flight before disinfection took place. </w:t>
      </w:r>
    </w:p>
    <w:p w14:paraId="1CD42A20" w14:textId="4A9567DC" w:rsidR="005D2246" w:rsidRDefault="005D2246" w:rsidP="00CF7116">
      <w:pPr>
        <w:spacing w:before="240" w:line="276" w:lineRule="auto"/>
      </w:pPr>
      <w:r w:rsidRPr="0095272F">
        <w:t xml:space="preserve">There was </w:t>
      </w:r>
      <w:r>
        <w:t xml:space="preserve">very </w:t>
      </w:r>
      <w:r w:rsidRPr="005D2246">
        <w:t>weak evidence</w:t>
      </w:r>
      <w:r w:rsidRPr="0095272F">
        <w:t xml:space="preserve"> </w:t>
      </w:r>
      <w:r>
        <w:t>from one laboratory study,</w:t>
      </w:r>
      <w:r w:rsidR="00613291">
        <w:rPr>
          <w:vertAlign w:val="superscript"/>
        </w:rPr>
        <w:t>252</w:t>
      </w:r>
      <w:r>
        <w:t xml:space="preserve"> </w:t>
      </w:r>
      <w:r w:rsidRPr="00F25D61">
        <w:t xml:space="preserve">which </w:t>
      </w:r>
      <w:r>
        <w:t>evaluated the effect of disinfection using steam technology on wool and nylon carpet. Exposure to steam, even at the highest exposure time of 90 seconds, did not result in complete removal of FCV from the carpets, but removed 3.80 and 3.68x log</w:t>
      </w:r>
      <w:r w:rsidRPr="001840BB">
        <w:rPr>
          <w:vertAlign w:val="subscript"/>
        </w:rPr>
        <w:t>10</w:t>
      </w:r>
      <w:r>
        <w:t xml:space="preserve"> FCV copies from wool and nylon respectively. The authors reported that minor abrasion was visible on a wool carpet immediately and 24</w:t>
      </w:r>
      <w:r w:rsidR="00C870B1">
        <w:t xml:space="preserve"> hours</w:t>
      </w:r>
      <w:r>
        <w:t xml:space="preserve"> after the disinfection. The authors also reported that immediately after the disinfection took place, the carpet appeared wet and had some minor abrasions. These abrasions remained one hour and 24 hours after the carpet was steamed. </w:t>
      </w:r>
    </w:p>
    <w:p w14:paraId="1260C3CD" w14:textId="77777777" w:rsidR="005D2246" w:rsidRPr="00906DF5" w:rsidRDefault="005D2246" w:rsidP="00CF7116">
      <w:pPr>
        <w:pStyle w:val="Heading3"/>
        <w:spacing w:line="276" w:lineRule="auto"/>
      </w:pPr>
      <w:r>
        <w:lastRenderedPageBreak/>
        <w:t xml:space="preserve">No disinfection </w:t>
      </w:r>
    </w:p>
    <w:p w14:paraId="25444F77" w14:textId="4033A570" w:rsidR="005D2246" w:rsidRDefault="005D2246" w:rsidP="00CF7116">
      <w:pPr>
        <w:spacing w:before="240" w:line="276" w:lineRule="auto"/>
      </w:pPr>
      <w:r w:rsidRPr="0095272F">
        <w:t xml:space="preserve">There was </w:t>
      </w:r>
      <w:r>
        <w:t xml:space="preserve">very </w:t>
      </w:r>
      <w:r w:rsidRPr="005D2246">
        <w:t>weak evidence</w:t>
      </w:r>
      <w:r w:rsidRPr="0095272F">
        <w:t xml:space="preserve"> </w:t>
      </w:r>
      <w:r>
        <w:t>from two outbreak studies,</w:t>
      </w:r>
      <w:r w:rsidR="00613291">
        <w:rPr>
          <w:vertAlign w:val="superscript"/>
        </w:rPr>
        <w:t>56</w:t>
      </w:r>
      <w:r>
        <w:rPr>
          <w:vertAlign w:val="superscript"/>
        </w:rPr>
        <w:t>,</w:t>
      </w:r>
      <w:r w:rsidR="00613291">
        <w:rPr>
          <w:vertAlign w:val="superscript"/>
        </w:rPr>
        <w:t>262</w:t>
      </w:r>
      <w:r>
        <w:t xml:space="preserve"> which reported using no disinfection of soft furnishings during outbreaks in healthcare setting. The first outbreak,</w:t>
      </w:r>
      <w:r w:rsidR="00613291">
        <w:rPr>
          <w:vertAlign w:val="superscript"/>
        </w:rPr>
        <w:t>56</w:t>
      </w:r>
      <w:r>
        <w:t xml:space="preserve"> affecting 29 cases and lasting 15 days, was reported to be due to a widespread environmental contamination. Cleaning the carpets with hot water and no disinfectants was a part of the introduced control measures and the authors reported that these were successful in controlling and eventually terminating the outbreak. However, the authors did not make any specific comments whether the areas were adequately decontaminated and whether hot water was sufficient to remove the virus from the carpets. The second study</w:t>
      </w:r>
      <w:r w:rsidR="00613291">
        <w:rPr>
          <w:vertAlign w:val="superscript"/>
        </w:rPr>
        <w:t>262</w:t>
      </w:r>
      <w:r>
        <w:t xml:space="preserve"> reported two cases of delayed transmission from fomites following an outbreak which occurred in a hospital. The authors reported that two carpet fitters who were employed to remove the old carpet in a side room became ill 36 and 48 hours later. The fitters had no known exposure</w:t>
      </w:r>
      <w:r w:rsidRPr="009D7E49">
        <w:t xml:space="preserve"> to norovirus</w:t>
      </w:r>
      <w:r>
        <w:t xml:space="preserve"> but the investigations revealed that a symptomatic case was diagnosed with norovirus 16 days prior and that the carpet was only </w:t>
      </w:r>
      <w:r w:rsidRPr="009D7E49">
        <w:t>dry vacuumed</w:t>
      </w:r>
      <w:r w:rsidR="001128A6">
        <w:t xml:space="preserve"> twelve </w:t>
      </w:r>
      <w:r w:rsidRPr="009D7E49">
        <w:t xml:space="preserve">days before </w:t>
      </w:r>
      <w:r>
        <w:t xml:space="preserve">the </w:t>
      </w:r>
      <w:r w:rsidRPr="009D7E49">
        <w:t xml:space="preserve">removal. It was reported that </w:t>
      </w:r>
      <w:r>
        <w:t xml:space="preserve">the carpet was </w:t>
      </w:r>
      <w:r w:rsidRPr="009D7E49">
        <w:t>difficult to remove due to an adhesive and that the fitters needed to cut it into pieces and pull hard</w:t>
      </w:r>
      <w:r>
        <w:t xml:space="preserve"> in order to detach it from the floor</w:t>
      </w:r>
      <w:r w:rsidRPr="009D7E49">
        <w:t>.</w:t>
      </w:r>
    </w:p>
    <w:p w14:paraId="48A9405A" w14:textId="4554FBFE" w:rsidR="005D2246" w:rsidRDefault="005D2246" w:rsidP="00CF7116">
      <w:pPr>
        <w:spacing w:before="240" w:line="276" w:lineRule="auto"/>
      </w:pPr>
      <w:r w:rsidRPr="0095272F">
        <w:t xml:space="preserve">There was </w:t>
      </w:r>
      <w:r>
        <w:t xml:space="preserve">very </w:t>
      </w:r>
      <w:r w:rsidRPr="005D2246">
        <w:t>weak evidence</w:t>
      </w:r>
      <w:r w:rsidRPr="0095272F">
        <w:t xml:space="preserve"> </w:t>
      </w:r>
      <w:r>
        <w:t>from two outbreak reports,</w:t>
      </w:r>
      <w:r w:rsidR="00613291">
        <w:rPr>
          <w:vertAlign w:val="superscript"/>
        </w:rPr>
        <w:t>12</w:t>
      </w:r>
      <w:r w:rsidRPr="009D7E49">
        <w:rPr>
          <w:vertAlign w:val="superscript"/>
        </w:rPr>
        <w:t>4,</w:t>
      </w:r>
      <w:r w:rsidR="00613291">
        <w:rPr>
          <w:vertAlign w:val="superscript"/>
        </w:rPr>
        <w:t>224</w:t>
      </w:r>
      <w:r>
        <w:t xml:space="preserve"> which used no disinfection during outbreaks outside healthcare setting. One of these outbreaks</w:t>
      </w:r>
      <w:r w:rsidR="00613291">
        <w:rPr>
          <w:vertAlign w:val="superscript"/>
        </w:rPr>
        <w:t>22</w:t>
      </w:r>
      <w:r w:rsidRPr="009D7E49">
        <w:rPr>
          <w:vertAlign w:val="superscript"/>
        </w:rPr>
        <w:t>4</w:t>
      </w:r>
      <w:r>
        <w:t xml:space="preserve"> occurred in a concert hall shortly after </w:t>
      </w:r>
      <w:r w:rsidR="00F154F2">
        <w:t>the</w:t>
      </w:r>
      <w:r>
        <w:t xml:space="preserve"> index case vomited in the male toilet and the carpeted walkway. It was reported that </w:t>
      </w:r>
      <w:r w:rsidR="00F154F2">
        <w:t xml:space="preserve">an </w:t>
      </w:r>
      <w:r>
        <w:t>e</w:t>
      </w:r>
      <w:r w:rsidRPr="009D7E49">
        <w:t xml:space="preserve">mergency spillage compound </w:t>
      </w:r>
      <w:r>
        <w:t xml:space="preserve">was </w:t>
      </w:r>
      <w:r w:rsidRPr="009D7E49">
        <w:t>used</w:t>
      </w:r>
      <w:r>
        <w:t xml:space="preserve"> to remove the vomitus, but no disinfection took place</w:t>
      </w:r>
      <w:r w:rsidRPr="009D7E49">
        <w:t xml:space="preserve">. </w:t>
      </w:r>
      <w:r>
        <w:t>The c</w:t>
      </w:r>
      <w:r w:rsidRPr="009D7E49">
        <w:t xml:space="preserve">arpet </w:t>
      </w:r>
      <w:r>
        <w:t xml:space="preserve">was also </w:t>
      </w:r>
      <w:r w:rsidRPr="009D7E49">
        <w:t>vacuumed</w:t>
      </w:r>
      <w:r>
        <w:t>,</w:t>
      </w:r>
      <w:r w:rsidRPr="009D7E49">
        <w:t xml:space="preserve"> but </w:t>
      </w:r>
      <w:r>
        <w:t>not until</w:t>
      </w:r>
      <w:r w:rsidRPr="009D7E49">
        <w:t xml:space="preserve"> after </w:t>
      </w:r>
      <w:r>
        <w:t>a second</w:t>
      </w:r>
      <w:r w:rsidRPr="009D7E49">
        <w:t xml:space="preserve"> concert</w:t>
      </w:r>
      <w:r>
        <w:t xml:space="preserve"> which occurred next day</w:t>
      </w:r>
      <w:r w:rsidRPr="009D7E49">
        <w:t xml:space="preserve">. </w:t>
      </w:r>
      <w:r>
        <w:t>There was no person-to-person contact but further cases occurred among attendees of the second concert. The a</w:t>
      </w:r>
      <w:r w:rsidRPr="009D7E49">
        <w:t xml:space="preserve">uthors reported that males could have been infected from surfaces in a male toilet where </w:t>
      </w:r>
      <w:r>
        <w:t xml:space="preserve">the </w:t>
      </w:r>
      <w:r w:rsidRPr="009D7E49">
        <w:t>index vomited but females could only be infected from the</w:t>
      </w:r>
      <w:r>
        <w:t xml:space="preserve"> </w:t>
      </w:r>
      <w:r w:rsidRPr="009D7E49">
        <w:t>walkway</w:t>
      </w:r>
      <w:r>
        <w:t>, thus demonstrating that the contaminated carpet was the source of infection for at least a proportion of the affected cases</w:t>
      </w:r>
      <w:r w:rsidRPr="009D7E49">
        <w:t>.</w:t>
      </w:r>
      <w:r>
        <w:t xml:space="preserve"> The second outbreak,</w:t>
      </w:r>
      <w:r w:rsidR="00613291">
        <w:rPr>
          <w:vertAlign w:val="superscript"/>
        </w:rPr>
        <w:t>124</w:t>
      </w:r>
      <w:r>
        <w:t xml:space="preserve"> which occurred in a hotel, affected over 1000 cases and lasted over 26 weeks. The authors reported that the initial control measures (avoiding contact between leaving and arriving guests, immediate cleaning) were not effective and that the hotel closed for a thorough cleaning. Disinfection was not used as there was a concern that disinfectants would damage carpets and soft furnishings, thus carpets were shampooed and vacuumed instead. It was reported that after re-opening, cases increased rapidly but gradually declined over the next few weeks. The outbreak lasted further 14 weeks after re-opening.</w:t>
      </w:r>
    </w:p>
    <w:p w14:paraId="20169869" w14:textId="77777777" w:rsidR="005D2246" w:rsidRPr="00740352" w:rsidRDefault="005D2246" w:rsidP="00CF7116">
      <w:pPr>
        <w:pStyle w:val="Heading3"/>
        <w:spacing w:line="276" w:lineRule="auto"/>
      </w:pPr>
      <w:r w:rsidRPr="00740352">
        <w:t xml:space="preserve">Other </w:t>
      </w:r>
      <w:r>
        <w:t xml:space="preserve">disinfecting </w:t>
      </w:r>
      <w:r w:rsidRPr="00740352">
        <w:t>agents</w:t>
      </w:r>
      <w:r>
        <w:t xml:space="preserve"> and technologies</w:t>
      </w:r>
    </w:p>
    <w:p w14:paraId="1DE1B436" w14:textId="4417DA27" w:rsidR="005D2246" w:rsidRDefault="005D2246" w:rsidP="00CF7116">
      <w:pPr>
        <w:spacing w:before="240" w:line="276" w:lineRule="auto"/>
      </w:pPr>
      <w:r>
        <w:t xml:space="preserve">There was further evidence from three laboratory studies which used other disinfecting agents and technologies for removal or inactivation of HNV or its surrogates. </w:t>
      </w:r>
      <w:r w:rsidR="00E2003E">
        <w:t xml:space="preserve">It was reported that </w:t>
      </w:r>
      <w:r>
        <w:t>SDS</w:t>
      </w:r>
      <w:r w:rsidR="00736BB0">
        <w:rPr>
          <w:vertAlign w:val="superscript"/>
        </w:rPr>
        <w:t>252</w:t>
      </w:r>
      <w:r>
        <w:t xml:space="preserve"> was more effective in removing FCV from nylon (3.62x log</w:t>
      </w:r>
      <w:r w:rsidRPr="001840BB">
        <w:rPr>
          <w:vertAlign w:val="subscript"/>
        </w:rPr>
        <w:t>10</w:t>
      </w:r>
      <w:r>
        <w:t xml:space="preserve"> viral copies) than a wool carpet (1.82x log</w:t>
      </w:r>
      <w:r w:rsidRPr="001840BB">
        <w:rPr>
          <w:vertAlign w:val="subscript"/>
        </w:rPr>
        <w:t>10</w:t>
      </w:r>
      <w:r>
        <w:t xml:space="preserve"> viral copies) but did not achieve a complete inactivation. The authors also reported that there were white suds and film which were visible immediately after an application of SDS, but these disappeared after one hour and there was no evidence of damage to the carpets 24 hours later. Another study</w:t>
      </w:r>
      <w:r w:rsidR="00736BB0">
        <w:rPr>
          <w:vertAlign w:val="superscript"/>
        </w:rPr>
        <w:t>253</w:t>
      </w:r>
      <w:r>
        <w:t xml:space="preserve"> reported that cotton and carpet samples treated with ozone contained 3x10</w:t>
      </w:r>
      <w:r w:rsidRPr="001840BB">
        <w:rPr>
          <w:vertAlign w:val="superscript"/>
        </w:rPr>
        <w:t>-5</w:t>
      </w:r>
      <w:r>
        <w:t xml:space="preserve"> and 4x10</w:t>
      </w:r>
      <w:r w:rsidRPr="001840BB">
        <w:rPr>
          <w:vertAlign w:val="superscript"/>
        </w:rPr>
        <w:t>-5</w:t>
      </w:r>
      <w:r w:rsidRPr="001840BB">
        <w:t xml:space="preserve"> </w:t>
      </w:r>
      <w:r>
        <w:t>less PFU copies respectively when compared to untreated controls. The last study</w:t>
      </w:r>
      <w:r w:rsidR="00736BB0">
        <w:rPr>
          <w:vertAlign w:val="superscript"/>
        </w:rPr>
        <w:t>259</w:t>
      </w:r>
      <w:r>
        <w:t xml:space="preserve"> reported that silver-impregnated cotton fabric inactivated over 2.72 log</w:t>
      </w:r>
      <w:r w:rsidRPr="001840BB">
        <w:rPr>
          <w:vertAlign w:val="subscript"/>
        </w:rPr>
        <w:t>10</w:t>
      </w:r>
      <w:r>
        <w:t xml:space="preserve"> copies of the MNV after 24 hours while the virus remained almost intact on cotton without silver (0.18 log</w:t>
      </w:r>
      <w:r w:rsidRPr="001840BB">
        <w:rPr>
          <w:vertAlign w:val="subscript"/>
        </w:rPr>
        <w:t>10</w:t>
      </w:r>
      <w:r>
        <w:t xml:space="preserve"> reduction).</w:t>
      </w:r>
      <w:r w:rsidR="000E41A6">
        <w:t xml:space="preserve"> </w:t>
      </w:r>
    </w:p>
    <w:p w14:paraId="350B0142" w14:textId="6F30DFB8" w:rsidR="00D616E0" w:rsidRDefault="005D2246" w:rsidP="00CF7116">
      <w:pPr>
        <w:spacing w:before="240" w:line="276" w:lineRule="auto"/>
        <w:rPr>
          <w:i/>
          <w:iCs/>
        </w:rPr>
      </w:pPr>
      <w:r w:rsidRPr="005D2246">
        <w:rPr>
          <w:i/>
          <w:iCs/>
        </w:rPr>
        <w:lastRenderedPageBreak/>
        <w:t xml:space="preserve">The Working Party reviewed the above evidence and concluded that a clear benefit of hypochlorite has not been demonstrated. However, it suggests that using hypochlorite is likely to be better than using no disinfection at all. On the other hand, the evidence for other disinfectants is very weak, and suggests no </w:t>
      </w:r>
      <w:r w:rsidR="00F154F2">
        <w:rPr>
          <w:i/>
          <w:iCs/>
        </w:rPr>
        <w:t>clear</w:t>
      </w:r>
      <w:r w:rsidRPr="005D2246">
        <w:rPr>
          <w:i/>
          <w:iCs/>
        </w:rPr>
        <w:t xml:space="preserve"> benefit. Therefore, based on the evidence published to date, hypochlorite appears to be the </w:t>
      </w:r>
      <w:r w:rsidR="00F154F2">
        <w:rPr>
          <w:i/>
          <w:iCs/>
        </w:rPr>
        <w:t>most</w:t>
      </w:r>
      <w:r w:rsidRPr="005D2246">
        <w:rPr>
          <w:i/>
          <w:iCs/>
        </w:rPr>
        <w:t xml:space="preserve"> viable option for disinfection during norovirus outbreaks in different settings. It needs to be emphasised that when using the disinfectants, the users need to comply with the recommended concentrations and contact times to reduce viral contamination, but they also need to be aware that complete eradication may not have been achieved. The Working Party has no reason to challenge the previous recommendation</w:t>
      </w:r>
      <w:r w:rsidR="00AC0F9C" w:rsidRPr="00AC0F9C">
        <w:rPr>
          <w:vertAlign w:val="superscript"/>
        </w:rPr>
        <w:t>1</w:t>
      </w:r>
      <w:r w:rsidRPr="005D2246">
        <w:rPr>
          <w:i/>
          <w:iCs/>
        </w:rPr>
        <w:t xml:space="preserve"> that 0.1% (1000ppm) hypochlorite should be used for disinfection. The Working Party also concluded that appropriate cleaning and the removal of any organic soiling before disinfection takes place is essential in eradicating norovirus from the environmental surfaces. Thus, focus should be on staff education and training to ensure that appropriate cleaning standards are met. The Working Party recommends that hospitals and other health</w:t>
      </w:r>
      <w:r w:rsidR="00364DC7">
        <w:rPr>
          <w:i/>
          <w:iCs/>
        </w:rPr>
        <w:t xml:space="preserve"> and social </w:t>
      </w:r>
      <w:r w:rsidRPr="005D2246">
        <w:rPr>
          <w:i/>
          <w:iCs/>
        </w:rPr>
        <w:t>care providers</w:t>
      </w:r>
      <w:r w:rsidR="00736BB0">
        <w:rPr>
          <w:i/>
          <w:iCs/>
        </w:rPr>
        <w:t xml:space="preserve"> in the UK </w:t>
      </w:r>
      <w:r w:rsidRPr="005D2246">
        <w:rPr>
          <w:i/>
          <w:iCs/>
        </w:rPr>
        <w:t>refer to National Standards of Healthcare Cleanliness</w:t>
      </w:r>
      <w:r w:rsidR="00736BB0" w:rsidRPr="00736BB0">
        <w:rPr>
          <w:i/>
          <w:iCs/>
          <w:vertAlign w:val="superscript"/>
        </w:rPr>
        <w:t>263</w:t>
      </w:r>
      <w:r w:rsidR="00736BB0" w:rsidRPr="00736BB0">
        <w:rPr>
          <w:i/>
          <w:iCs/>
        </w:rPr>
        <w:t xml:space="preserve"> </w:t>
      </w:r>
      <w:r w:rsidRPr="005D2246">
        <w:rPr>
          <w:i/>
          <w:iCs/>
        </w:rPr>
        <w:t xml:space="preserve">for achieving appropriate cleanliness of the environment before disinfection takes place. </w:t>
      </w:r>
      <w:r w:rsidR="00736BB0">
        <w:rPr>
          <w:i/>
          <w:iCs/>
        </w:rPr>
        <w:t xml:space="preserve">Other providers should refer to their own national guidelines. </w:t>
      </w:r>
    </w:p>
    <w:p w14:paraId="70C9D88C" w14:textId="0104ED29" w:rsidR="005D2246" w:rsidRDefault="005D2246" w:rsidP="00CF7116">
      <w:pPr>
        <w:spacing w:before="240" w:line="276" w:lineRule="auto"/>
        <w:rPr>
          <w:i/>
          <w:iCs/>
        </w:rPr>
      </w:pPr>
      <w:r w:rsidRPr="005D2246">
        <w:rPr>
          <w:i/>
          <w:iCs/>
        </w:rPr>
        <w:t xml:space="preserve">The benefit of automated room decontamination devices, such as those emitting UV light or dispersing HPV is still not established for norovirus. The Working Party do not recommend the routine use of these technologies during the norovirus outbreaks, but they do acknowledge that they may be useful in some situations, such as when there is an ongoing transmission despite standard IPC measures already being in place. </w:t>
      </w:r>
    </w:p>
    <w:p w14:paraId="76F6CA92" w14:textId="60F5574C" w:rsidR="005D2246" w:rsidRDefault="005D2246" w:rsidP="00CF7116">
      <w:pPr>
        <w:spacing w:before="240" w:line="276" w:lineRule="auto"/>
        <w:rPr>
          <w:i/>
          <w:iCs/>
        </w:rPr>
      </w:pPr>
      <w:r w:rsidRPr="005D2246">
        <w:rPr>
          <w:i/>
          <w:iCs/>
        </w:rPr>
        <w:t xml:space="preserve">For the laboratory studies, apart from sitting very low </w:t>
      </w:r>
      <w:r w:rsidR="00F154F2">
        <w:rPr>
          <w:i/>
          <w:iCs/>
        </w:rPr>
        <w:t>in</w:t>
      </w:r>
      <w:r w:rsidRPr="005D2246">
        <w:rPr>
          <w:i/>
          <w:iCs/>
        </w:rPr>
        <w:t xml:space="preserve"> the hierarchy of the evidence, the biggest limitation is the use of surrogates such as FCV and MNV. It is still not determined how well these surrogates represent HNV and, as such, whether the results can be extrapolated into real world settings. As a result, the Working Party concluded that further studies in this area will have no benefit until culturable HNV become available and thus suggest</w:t>
      </w:r>
      <w:r w:rsidR="00F154F2">
        <w:rPr>
          <w:i/>
          <w:iCs/>
        </w:rPr>
        <w:t>s</w:t>
      </w:r>
      <w:r w:rsidRPr="005D2246">
        <w:rPr>
          <w:i/>
          <w:iCs/>
        </w:rPr>
        <w:t xml:space="preserve"> that the efforts should instead focus on identifying appropriate culture methods for HNV. </w:t>
      </w:r>
    </w:p>
    <w:p w14:paraId="14C6179B" w14:textId="103F55BF" w:rsidR="005D2246" w:rsidRDefault="005D2246" w:rsidP="00CF7116">
      <w:pPr>
        <w:spacing w:before="240" w:line="276" w:lineRule="auto"/>
        <w:rPr>
          <w:i/>
          <w:iCs/>
        </w:rPr>
      </w:pPr>
      <w:r>
        <w:rPr>
          <w:i/>
          <w:iCs/>
        </w:rPr>
        <w:t>In regard to fabrics</w:t>
      </w:r>
      <w:r w:rsidR="00D616E0">
        <w:rPr>
          <w:i/>
          <w:iCs/>
        </w:rPr>
        <w:t>, current evidence</w:t>
      </w:r>
      <w:r w:rsidR="00364DC7">
        <w:rPr>
          <w:i/>
          <w:iCs/>
        </w:rPr>
        <w:t xml:space="preserve">, although weak, </w:t>
      </w:r>
      <w:r w:rsidR="00D616E0">
        <w:rPr>
          <w:i/>
          <w:iCs/>
        </w:rPr>
        <w:t>suggest</w:t>
      </w:r>
      <w:r w:rsidR="00364DC7">
        <w:rPr>
          <w:i/>
          <w:iCs/>
        </w:rPr>
        <w:t>s</w:t>
      </w:r>
      <w:r w:rsidR="00D616E0">
        <w:rPr>
          <w:i/>
          <w:iCs/>
        </w:rPr>
        <w:t xml:space="preserve"> that </w:t>
      </w:r>
      <w:r w:rsidR="00364DC7">
        <w:rPr>
          <w:i/>
          <w:iCs/>
        </w:rPr>
        <w:t xml:space="preserve">none </w:t>
      </w:r>
      <w:r w:rsidR="00D616E0">
        <w:rPr>
          <w:i/>
          <w:iCs/>
        </w:rPr>
        <w:t xml:space="preserve">of the disinfecting agents </w:t>
      </w:r>
      <w:r w:rsidR="00364DC7">
        <w:rPr>
          <w:i/>
          <w:iCs/>
        </w:rPr>
        <w:t>are</w:t>
      </w:r>
      <w:r w:rsidR="00D616E0">
        <w:rPr>
          <w:i/>
          <w:iCs/>
        </w:rPr>
        <w:t xml:space="preserve"> beneficial. As such, the Working Party recommend that, wherever possible, these should be avoided and that appropriate, easy to clean alternatives are considered (e.g. vinyl covers). </w:t>
      </w:r>
    </w:p>
    <w:p w14:paraId="0D3D396F" w14:textId="3B5CECD7" w:rsidR="00EC7A69" w:rsidRPr="00E471FB" w:rsidRDefault="00EC7A69" w:rsidP="00CF7116">
      <w:pPr>
        <w:spacing w:line="276" w:lineRule="auto"/>
        <w:rPr>
          <w:b/>
          <w:bCs/>
        </w:rPr>
      </w:pPr>
      <w:r w:rsidRPr="00E471FB">
        <w:rPr>
          <w:b/>
          <w:bCs/>
        </w:rPr>
        <w:t>Recommendations:</w:t>
      </w:r>
    </w:p>
    <w:p w14:paraId="00D102B6" w14:textId="2203ED3E" w:rsidR="00EC7A69" w:rsidRPr="00D616E0" w:rsidRDefault="00EC7A69" w:rsidP="00CF7116">
      <w:pPr>
        <w:spacing w:before="240" w:line="276" w:lineRule="auto"/>
      </w:pPr>
      <w:r w:rsidRPr="00D616E0">
        <w:rPr>
          <w:b/>
          <w:bCs/>
        </w:rPr>
        <w:t>1</w:t>
      </w:r>
      <w:r w:rsidR="00D616E0" w:rsidRPr="00D616E0">
        <w:rPr>
          <w:b/>
          <w:bCs/>
        </w:rPr>
        <w:t>7</w:t>
      </w:r>
      <w:r w:rsidRPr="00D616E0">
        <w:rPr>
          <w:b/>
          <w:bCs/>
        </w:rPr>
        <w:t>.1</w:t>
      </w:r>
      <w:r w:rsidR="00D616E0">
        <w:rPr>
          <w:b/>
          <w:bCs/>
        </w:rPr>
        <w:t>:</w:t>
      </w:r>
      <w:r w:rsidRPr="00D616E0">
        <w:rPr>
          <w:b/>
          <w:bCs/>
        </w:rPr>
        <w:t xml:space="preserve"> </w:t>
      </w:r>
      <w:r w:rsidRPr="00D616E0">
        <w:t xml:space="preserve">Ensure that appropriate cleaning, including the removal of organic soiling, precedes disinfection. </w:t>
      </w:r>
    </w:p>
    <w:p w14:paraId="6D61BA1C" w14:textId="41B042EA" w:rsidR="00EC7A69" w:rsidRPr="00D616E0" w:rsidRDefault="00EC7A69" w:rsidP="00CF7116">
      <w:pPr>
        <w:spacing w:before="240" w:line="276" w:lineRule="auto"/>
      </w:pPr>
      <w:r w:rsidRPr="00D616E0">
        <w:rPr>
          <w:b/>
          <w:bCs/>
        </w:rPr>
        <w:t>1</w:t>
      </w:r>
      <w:r w:rsidR="00D616E0" w:rsidRPr="00D616E0">
        <w:rPr>
          <w:b/>
          <w:bCs/>
        </w:rPr>
        <w:t>7</w:t>
      </w:r>
      <w:r w:rsidRPr="00D616E0">
        <w:rPr>
          <w:b/>
          <w:bCs/>
        </w:rPr>
        <w:t>.2</w:t>
      </w:r>
      <w:r w:rsidR="00D616E0">
        <w:rPr>
          <w:b/>
          <w:bCs/>
        </w:rPr>
        <w:t>:</w:t>
      </w:r>
      <w:r w:rsidRPr="00D616E0">
        <w:rPr>
          <w:b/>
          <w:bCs/>
        </w:rPr>
        <w:t xml:space="preserve"> </w:t>
      </w:r>
      <w:r w:rsidRPr="00D616E0">
        <w:t xml:space="preserve">Ensure that all staff involved in the environmental cleaning are trained to achieve appropriate cleaning standards. </w:t>
      </w:r>
    </w:p>
    <w:p w14:paraId="592DB4A4" w14:textId="77777777" w:rsidR="00EC7A69" w:rsidRPr="00E471FB" w:rsidRDefault="00EC7A69" w:rsidP="00CF7116">
      <w:pPr>
        <w:spacing w:line="276" w:lineRule="auto"/>
        <w:rPr>
          <w:b/>
          <w:bCs/>
        </w:rPr>
      </w:pPr>
      <w:r w:rsidRPr="00E471FB">
        <w:rPr>
          <w:b/>
          <w:bCs/>
        </w:rPr>
        <w:t>Good practice points:</w:t>
      </w:r>
    </w:p>
    <w:p w14:paraId="4977CF52" w14:textId="6A00F47D" w:rsidR="00EC7A69" w:rsidRPr="00D616E0" w:rsidRDefault="00EC7A69" w:rsidP="00CF7116">
      <w:pPr>
        <w:spacing w:before="240" w:line="276" w:lineRule="auto"/>
      </w:pPr>
      <w:r w:rsidRPr="00D616E0">
        <w:rPr>
          <w:b/>
          <w:bCs/>
        </w:rPr>
        <w:t>GPP 1</w:t>
      </w:r>
      <w:r w:rsidR="00D616E0" w:rsidRPr="00D616E0">
        <w:rPr>
          <w:b/>
          <w:bCs/>
        </w:rPr>
        <w:t>7</w:t>
      </w:r>
      <w:r w:rsidRPr="00D616E0">
        <w:rPr>
          <w:b/>
          <w:bCs/>
        </w:rPr>
        <w:t>.1</w:t>
      </w:r>
      <w:r w:rsidR="00D616E0" w:rsidRPr="00D616E0">
        <w:rPr>
          <w:b/>
          <w:bCs/>
        </w:rPr>
        <w:t>:</w:t>
      </w:r>
      <w:r w:rsidRPr="00D616E0">
        <w:rPr>
          <w:b/>
          <w:bCs/>
        </w:rPr>
        <w:t xml:space="preserve"> </w:t>
      </w:r>
      <w:r w:rsidRPr="00D616E0">
        <w:t xml:space="preserve">Use 0.1% (1000ppm) hypochlorite for disinfection of all appropriate surfaces during norovirus outbreaks. </w:t>
      </w:r>
    </w:p>
    <w:p w14:paraId="14594B2B" w14:textId="3982CD0B" w:rsidR="00EC7A69" w:rsidRPr="00D616E0" w:rsidRDefault="00EC7A69" w:rsidP="00CF7116">
      <w:pPr>
        <w:spacing w:before="240" w:line="276" w:lineRule="auto"/>
      </w:pPr>
      <w:r w:rsidRPr="00D616E0">
        <w:rPr>
          <w:b/>
          <w:bCs/>
        </w:rPr>
        <w:lastRenderedPageBreak/>
        <w:t>GPP 1</w:t>
      </w:r>
      <w:r w:rsidR="00D616E0" w:rsidRPr="00D616E0">
        <w:rPr>
          <w:b/>
          <w:bCs/>
        </w:rPr>
        <w:t>7</w:t>
      </w:r>
      <w:r w:rsidRPr="00D616E0">
        <w:rPr>
          <w:b/>
          <w:bCs/>
        </w:rPr>
        <w:t>.2</w:t>
      </w:r>
      <w:r w:rsidR="00D616E0" w:rsidRPr="00D616E0">
        <w:rPr>
          <w:b/>
          <w:bCs/>
        </w:rPr>
        <w:t>:</w:t>
      </w:r>
      <w:r w:rsidRPr="00D616E0">
        <w:t xml:space="preserve"> Consider using automated room decontamination devices for norovirus outbreaks when, despite the standard IPC measures being in place, there is evidence of ongoing transmission from the environment. </w:t>
      </w:r>
    </w:p>
    <w:p w14:paraId="07F377F9" w14:textId="19BBE435" w:rsidR="005D2246" w:rsidRDefault="00D616E0" w:rsidP="00CF7116">
      <w:pPr>
        <w:spacing w:before="240" w:line="276" w:lineRule="auto"/>
      </w:pPr>
      <w:r w:rsidRPr="00D616E0">
        <w:rPr>
          <w:b/>
          <w:bCs/>
        </w:rPr>
        <w:t xml:space="preserve">GPP 17.3: </w:t>
      </w:r>
      <w:r w:rsidR="005D2246" w:rsidRPr="00D616E0">
        <w:t xml:space="preserve">Avoid soft furnishings and use wipeable materials that are </w:t>
      </w:r>
      <w:r w:rsidRPr="00D616E0">
        <w:t xml:space="preserve">non-permeable and </w:t>
      </w:r>
      <w:r w:rsidR="005D2246" w:rsidRPr="00D616E0">
        <w:t>easy to decontaminate (e.g. vinyl)</w:t>
      </w:r>
      <w:r w:rsidRPr="00D616E0">
        <w:t>.</w:t>
      </w:r>
      <w:r>
        <w:t xml:space="preserve"> </w:t>
      </w:r>
    </w:p>
    <w:p w14:paraId="3A404FEF" w14:textId="77777777" w:rsidR="00EC7A69" w:rsidRPr="00EC7A69" w:rsidRDefault="00EC7A69" w:rsidP="00CF7116">
      <w:pPr>
        <w:spacing w:before="240" w:line="276" w:lineRule="auto"/>
      </w:pPr>
    </w:p>
    <w:p w14:paraId="49580D6C" w14:textId="4A165667" w:rsidR="00E758C0" w:rsidRDefault="00E758C0" w:rsidP="00CF7116">
      <w:pPr>
        <w:pStyle w:val="Heading2"/>
        <w:spacing w:before="240" w:after="160" w:line="276" w:lineRule="auto"/>
      </w:pPr>
      <w:r>
        <w:t>8.18</w:t>
      </w:r>
      <w:r w:rsidRPr="00E758C0">
        <w:tab/>
        <w:t>How should terminal cleaning be conducted?</w:t>
      </w:r>
    </w:p>
    <w:p w14:paraId="68BAF3A8" w14:textId="398EF78B" w:rsidR="00157C8C" w:rsidRDefault="00157C8C" w:rsidP="00CF7116">
      <w:pPr>
        <w:spacing w:before="240" w:line="276" w:lineRule="auto"/>
      </w:pPr>
      <w:r w:rsidRPr="00157C8C">
        <w:t xml:space="preserve">Terminal cleaning </w:t>
      </w:r>
      <w:r>
        <w:t>usually refers to a process where</w:t>
      </w:r>
      <w:r w:rsidR="00F154F2">
        <w:t>by</w:t>
      </w:r>
      <w:r>
        <w:t xml:space="preserve"> </w:t>
      </w:r>
      <w:r w:rsidRPr="00157C8C">
        <w:t xml:space="preserve">the entire room </w:t>
      </w:r>
      <w:r>
        <w:t xml:space="preserve">is cleaned </w:t>
      </w:r>
      <w:r w:rsidRPr="00157C8C">
        <w:t xml:space="preserve">after use. </w:t>
      </w:r>
      <w:r>
        <w:t>This process minimise</w:t>
      </w:r>
      <w:r w:rsidR="00F154F2">
        <w:t>s</w:t>
      </w:r>
      <w:r>
        <w:t xml:space="preserve"> the risk of transmission of infectious diseases from fomites. </w:t>
      </w:r>
      <w:r w:rsidRPr="00157C8C">
        <w:t xml:space="preserve">Methods </w:t>
      </w:r>
      <w:r>
        <w:t xml:space="preserve">can </w:t>
      </w:r>
      <w:r w:rsidRPr="00157C8C">
        <w:t xml:space="preserve">vary, but </w:t>
      </w:r>
      <w:r>
        <w:t>t</w:t>
      </w:r>
      <w:r w:rsidR="00F154F2">
        <w:t xml:space="preserve">erminal cleaning </w:t>
      </w:r>
      <w:r>
        <w:t xml:space="preserve">often </w:t>
      </w:r>
      <w:r w:rsidRPr="00157C8C">
        <w:t>involve</w:t>
      </w:r>
      <w:r w:rsidR="00F154F2">
        <w:t>s</w:t>
      </w:r>
      <w:r w:rsidRPr="00157C8C">
        <w:t xml:space="preserve"> disinfection of all surfaces and discarding all disposable items</w:t>
      </w:r>
      <w:r>
        <w:t xml:space="preserve"> in the room. However, during a norovirus outbreak</w:t>
      </w:r>
      <w:r w:rsidR="00F154F2">
        <w:t>,</w:t>
      </w:r>
      <w:r>
        <w:t xml:space="preserve"> this term can be used in different contexts and can relate to cleaning and decontamination of individual rooms after </w:t>
      </w:r>
      <w:r w:rsidR="00364DC7">
        <w:t>individuals</w:t>
      </w:r>
      <w:r>
        <w:t xml:space="preserve"> are discharged</w:t>
      </w:r>
      <w:r w:rsidR="00F154F2">
        <w:t>,</w:t>
      </w:r>
      <w:r>
        <w:t xml:space="preserve"> but can also be used for decontamination of entire units or facilities after an outbreak has ended. While terminal cleaning may be seen as good practice, there may be some practical issues which can prevent this strategy from being implemented. For example this process is time consuming, and it may not be feasible when bed pressures require the rooms or the units to be available as soon as possible. Terminal cleaning can also be costly, especially if some items are discarded and replaced. It is currently not clear whether terminal cleaning offers any benefits and, if so, how, when and by whom it should be performed. It is also not known whether there are any consequences when it is not possible to perform the terminal cleaning during outbreaks, e.g. whether there is a risk that this could result in further cases or outbreak recurrence. Previous UK guidelines</w:t>
      </w:r>
      <w:r w:rsidR="00AC0F9C" w:rsidRPr="00AC0F9C">
        <w:rPr>
          <w:vertAlign w:val="superscript"/>
        </w:rPr>
        <w:t>1</w:t>
      </w:r>
      <w:r>
        <w:t xml:space="preserve"> did not address the issue of terminal cleaning and did not provide any recommendations on how this should be achieved.</w:t>
      </w:r>
    </w:p>
    <w:p w14:paraId="7313FD64" w14:textId="6EE0C169" w:rsidR="00EC7A69" w:rsidRDefault="00EC7A69" w:rsidP="00CF7116">
      <w:pPr>
        <w:spacing w:before="240" w:line="276" w:lineRule="auto"/>
      </w:pPr>
      <w:r w:rsidRPr="0095272F">
        <w:t xml:space="preserve">There was </w:t>
      </w:r>
      <w:r w:rsidRPr="003E0814">
        <w:t>weak evidence</w:t>
      </w:r>
      <w:r w:rsidRPr="0095272F">
        <w:t xml:space="preserve"> </w:t>
      </w:r>
      <w:r>
        <w:t>of benefit from five outbreak studies</w:t>
      </w:r>
      <w:r w:rsidR="007B1FD3" w:rsidRPr="007B1FD3">
        <w:rPr>
          <w:vertAlign w:val="superscript"/>
        </w:rPr>
        <w:t>25,26,19,29,31</w:t>
      </w:r>
      <w:r>
        <w:t xml:space="preserve"> which assessed the effectiveness of terminal cleaning during outbreak</w:t>
      </w:r>
      <w:r w:rsidR="00F154F2">
        <w:t>s</w:t>
      </w:r>
      <w:r>
        <w:t xml:space="preserve"> in healthcare settings. The studies reported that the number of cases affected varied from ten to 355 (median 50) and lasted from eleven days to over two months (median 17). These studies reported terminally cleaning either individual rooms after discharge/recovery</w:t>
      </w:r>
      <w:r w:rsidR="007B1FD3" w:rsidRPr="007B1FD3">
        <w:rPr>
          <w:vertAlign w:val="superscript"/>
        </w:rPr>
        <w:t>19,25,26</w:t>
      </w:r>
      <w:r>
        <w:t xml:space="preserve"> or entire wards after the outbreak ended</w:t>
      </w:r>
      <w:r w:rsidR="007B1FD3">
        <w:rPr>
          <w:vertAlign w:val="superscript"/>
        </w:rPr>
        <w:t>26,29,31</w:t>
      </w:r>
      <w:r>
        <w:t xml:space="preserve"> and all were introduced as a part of different measures to control an outbreak. After introducing terminal cleaning, among other interventions, the number of cases w</w:t>
      </w:r>
      <w:r w:rsidR="00F154F2">
        <w:t>as</w:t>
      </w:r>
      <w:r>
        <w:t xml:space="preserve"> between one and 98 (median 34) and the outbreaks lasted a further six to 14 days (median 11). All studies reported </w:t>
      </w:r>
      <w:r w:rsidR="00F154F2">
        <w:t>a</w:t>
      </w:r>
      <w:r>
        <w:t xml:space="preserve"> benefit of terminal cleaning. One of these studies</w:t>
      </w:r>
      <w:r w:rsidR="007B1FD3" w:rsidRPr="007B1FD3">
        <w:rPr>
          <w:vertAlign w:val="superscript"/>
        </w:rPr>
        <w:t>25</w:t>
      </w:r>
      <w:r>
        <w:t xml:space="preserve"> reported an outbreak which lasted 24 days and involved</w:t>
      </w:r>
      <w:r w:rsidR="001128A6">
        <w:t xml:space="preserve"> ten </w:t>
      </w:r>
      <w:r>
        <w:t xml:space="preserve">cases. The initial control measures stopped the transmission, but new cases recurred once the ward was open. These cases were transfers from another unit and they were considered to be a re-introduction rather than recurrence of the outbreak. Nevertheless, the authors reported that further measures were introduced, which included increasing the concentration of a disinfectant, cleaning the entire rooms with all linen and curtains changed and assessing the quality of the terminal clean using an ATP measuring device. After these measures, one case occurred, thus terminal cleaning was successful in preventing </w:t>
      </w:r>
      <w:r w:rsidR="00F154F2">
        <w:t>a</w:t>
      </w:r>
      <w:r>
        <w:t xml:space="preserve"> second outbreak. Another study</w:t>
      </w:r>
      <w:r w:rsidR="007B1FD3">
        <w:rPr>
          <w:vertAlign w:val="superscript"/>
        </w:rPr>
        <w:t>19</w:t>
      </w:r>
      <w:r>
        <w:t xml:space="preserve"> reported two outbreaks which occurred in one hospital within 18 months of each other. The authors reported that each outbreak was contained within one unit. Lessons were learnt in the first outbreak and as a result, control measures </w:t>
      </w:r>
      <w:r>
        <w:lastRenderedPageBreak/>
        <w:t xml:space="preserve">were introduced more rapidly in the second outbreak. One of these interventions was terminal cleaning after the affected patient was discharged or 72hrs after the recovery. Terminal cleaning involved using 1000ppm </w:t>
      </w:r>
      <w:r w:rsidR="00E2003E">
        <w:t>NaCl-</w:t>
      </w:r>
      <w:r>
        <w:t>, steaming carpets and changing curtains. The authors reported that the interventions did not have an effect on the number of patients being affected or the duration of the outbreak but it affected less staff and the measures resulted in a shorter duration of a ward closure. Another study</w:t>
      </w:r>
      <w:r w:rsidR="007B1FD3">
        <w:rPr>
          <w:vertAlign w:val="superscript"/>
        </w:rPr>
        <w:t>26</w:t>
      </w:r>
      <w:r>
        <w:t xml:space="preserve"> described an outbreak which mostly affected coronary care and psychiatry units and the authors reported that despite initial control measures, cases continued, and three days later further measures were introduced. Among the enhanced control measures, the coronary care unit was closed and thoroughly disinfected. This involved closing the unit for 24hrs, discarding all medical supplies and fabric items, and disinfecting all surfaces with </w:t>
      </w:r>
      <w:r w:rsidR="00E2003E">
        <w:t>NaCl-</w:t>
      </w:r>
      <w:r>
        <w:t xml:space="preserve"> twice by two consecutive teams. In other units, all rooms were terminally cleaned after patient discharges and this involved thorough disinfection of the entire room, floors and patient lockers, and discarding any supplies. It was reported that following this, there were only two further cases on this unit but the cases in psychiatric units continued. Another study</w:t>
      </w:r>
      <w:r w:rsidR="007B1FD3">
        <w:rPr>
          <w:vertAlign w:val="superscript"/>
        </w:rPr>
        <w:t>29</w:t>
      </w:r>
      <w:r>
        <w:t xml:space="preserve"> reported that the entire ward was terminally cleaned (details not provided) after the outbreak ended and that there was no recurrence of the outbreak after this. The last study</w:t>
      </w:r>
      <w:r w:rsidR="007B1FD3">
        <w:rPr>
          <w:vertAlign w:val="superscript"/>
        </w:rPr>
        <w:t>31</w:t>
      </w:r>
      <w:r>
        <w:t xml:space="preserve"> reported that initial measures did not result in outbreak resolution and that the additional measures were put in place three days after the initial measures. This, among other control measures, included disinfection of an entire hospital and terminally cleaning the wards once they were symptom-free for four days. Terminal cleaning included thorough disinfection with </w:t>
      </w:r>
      <w:r w:rsidR="00E2003E">
        <w:t>NaCl-</w:t>
      </w:r>
      <w:r>
        <w:t>, including carpets, curtains and all equipment. The authors reported that cases continued for a further eleven days but at a lower rate and no recurrences or second waves were reported.</w:t>
      </w:r>
      <w:r w:rsidR="000E41A6">
        <w:t xml:space="preserve"> </w:t>
      </w:r>
    </w:p>
    <w:p w14:paraId="60ECD39F" w14:textId="09A6831E" w:rsidR="00EC7A69" w:rsidRDefault="00EC7A69" w:rsidP="00CF7116">
      <w:pPr>
        <w:spacing w:before="240" w:line="276" w:lineRule="auto"/>
      </w:pPr>
      <w:r w:rsidRPr="0095272F">
        <w:t xml:space="preserve">There was </w:t>
      </w:r>
      <w:r w:rsidRPr="003E0814">
        <w:t>weak evidence</w:t>
      </w:r>
      <w:r w:rsidRPr="0095272F">
        <w:t xml:space="preserve"> </w:t>
      </w:r>
      <w:r>
        <w:t>from one outbreak report</w:t>
      </w:r>
      <w:r w:rsidR="001C027E">
        <w:rPr>
          <w:vertAlign w:val="superscript"/>
        </w:rPr>
        <w:t>45</w:t>
      </w:r>
      <w:r>
        <w:rPr>
          <w:vertAlign w:val="superscript"/>
        </w:rPr>
        <w:t xml:space="preserve"> </w:t>
      </w:r>
      <w:r>
        <w:t xml:space="preserve">which assessed the effectiveness of terminal cleaning during an outbreak outside the healthcare setting. The outbreak occurred on a cruise ship and extensive disinfection with </w:t>
      </w:r>
      <w:r w:rsidR="00E2003E">
        <w:t>NaCl-</w:t>
      </w:r>
      <w:r>
        <w:t xml:space="preserve"> and chlorine dioxide fogging was in place throughout the duration of the outbreak. Cases continued until the ship reached port when all passengers disembarked, and no entry was allowed for 24hrs. During this time, the ship was terminally cleaned (details not provided) and the authors did not report any further cases after the cleaning. Additionally, there was one laboratory report</w:t>
      </w:r>
      <w:r w:rsidR="001C027E">
        <w:rPr>
          <w:vertAlign w:val="superscript"/>
        </w:rPr>
        <w:t>225</w:t>
      </w:r>
      <w:r>
        <w:t xml:space="preserve"> which demonstrated how contamination should be removed. The study used different protocols for wiping melamine surfaces with either detergent alone or disinfecting with </w:t>
      </w:r>
      <w:r w:rsidR="00E2003E">
        <w:t>NaCl-</w:t>
      </w:r>
      <w:r>
        <w:t xml:space="preserve">. The results demonstrated that following wiping with detergent alone, all surfaces (28/28, 100%) remained contaminated while adding </w:t>
      </w:r>
      <w:r w:rsidR="00E2003E">
        <w:t>NaCl-</w:t>
      </w:r>
      <w:r>
        <w:t xml:space="preserve"> resulted in only 25% of the surfaces remaining contaminated (7/28). However, when the protocol involved wiping with detergent before disinfection to remove organic soiling, this resulted in removal of the viruses from all surfaces (0/14, 0% contaminated surfaces). </w:t>
      </w:r>
    </w:p>
    <w:p w14:paraId="787F62FC" w14:textId="6DBC50CC" w:rsidR="00EC7A69" w:rsidRDefault="00EC7A69" w:rsidP="00CF7116">
      <w:pPr>
        <w:spacing w:before="240" w:line="276" w:lineRule="auto"/>
      </w:pPr>
      <w:r w:rsidRPr="0095272F">
        <w:t xml:space="preserve">There was </w:t>
      </w:r>
      <w:r w:rsidRPr="003E0814">
        <w:t>weak evidence</w:t>
      </w:r>
      <w:r w:rsidRPr="0095272F">
        <w:t xml:space="preserve"> </w:t>
      </w:r>
      <w:r>
        <w:t>from one outbreak report</w:t>
      </w:r>
      <w:r w:rsidR="00F154F2">
        <w:t>,</w:t>
      </w:r>
      <w:r w:rsidR="001C027E">
        <w:rPr>
          <w:vertAlign w:val="superscript"/>
        </w:rPr>
        <w:t>26</w:t>
      </w:r>
      <w:r>
        <w:rPr>
          <w:vertAlign w:val="superscript"/>
        </w:rPr>
        <w:t xml:space="preserve"> </w:t>
      </w:r>
      <w:r>
        <w:t xml:space="preserve">which assessed the cost of terminal cleaning during an outbreak in </w:t>
      </w:r>
      <w:r w:rsidR="00F154F2">
        <w:t xml:space="preserve">a </w:t>
      </w:r>
      <w:r>
        <w:t>healthcare setting. The outbreak affected 355 cases and lasted over two months. The authors conducted a terminal clean involving thorough disinfection of patient rooms, floors and lockers and discarding any supplies. Additionally, one entire unit was terminally cleaned with all supplies and fabric items discarded in the process. The entire cleaning cost was $96,961 (approx. £74,000) which included terminal and enhanced cleaning during the outbreak. The authors also reported that the cost of the r</w:t>
      </w:r>
      <w:r w:rsidRPr="00272266">
        <w:t>eplacement of supplies</w:t>
      </w:r>
      <w:r>
        <w:t xml:space="preserve"> was $53,075 (approx. £40,000). </w:t>
      </w:r>
    </w:p>
    <w:p w14:paraId="4A0550C9" w14:textId="5F7A5448" w:rsidR="00EC7A69" w:rsidRPr="003E0814" w:rsidRDefault="00EC7A69" w:rsidP="00CF7116">
      <w:pPr>
        <w:spacing w:before="240" w:line="276" w:lineRule="auto"/>
        <w:rPr>
          <w:i/>
          <w:iCs/>
        </w:rPr>
      </w:pPr>
      <w:r w:rsidRPr="00157C8C">
        <w:rPr>
          <w:i/>
          <w:iCs/>
        </w:rPr>
        <w:lastRenderedPageBreak/>
        <w:t>The Working Party discussed the above evidence and concluded that despite the current weak evidence of the benefit of terminal cleaning, this should be a part of IPC measures for controlling norovirus outbreak</w:t>
      </w:r>
      <w:r w:rsidR="00157C8C" w:rsidRPr="00157C8C">
        <w:rPr>
          <w:i/>
          <w:iCs/>
        </w:rPr>
        <w:t>s</w:t>
      </w:r>
      <w:r w:rsidRPr="00157C8C">
        <w:rPr>
          <w:i/>
          <w:iCs/>
        </w:rPr>
        <w:t xml:space="preserve">. They also acknowledged that this is current practice in many institutions and that the limited evidence may be due to publication bias or the failure of outbreak studies to report that this control measure was used. There is little information </w:t>
      </w:r>
      <w:r w:rsidR="00157C8C">
        <w:rPr>
          <w:i/>
          <w:iCs/>
        </w:rPr>
        <w:t>as to</w:t>
      </w:r>
      <w:r w:rsidRPr="00157C8C">
        <w:rPr>
          <w:i/>
          <w:iCs/>
        </w:rPr>
        <w:t xml:space="preserve"> how this should occur, and the Working Party agreed that current local policies should be followed. The most important decision relates to the tim</w:t>
      </w:r>
      <w:r w:rsidR="00F154F2">
        <w:rPr>
          <w:i/>
          <w:iCs/>
        </w:rPr>
        <w:t>ing of</w:t>
      </w:r>
      <w:r w:rsidRPr="00157C8C">
        <w:rPr>
          <w:i/>
          <w:iCs/>
        </w:rPr>
        <w:t xml:space="preserve"> terminal cleaning. Terminal cleaning is costly because it is time- and resource-consuming</w:t>
      </w:r>
      <w:r w:rsidR="00F154F2">
        <w:rPr>
          <w:i/>
          <w:iCs/>
        </w:rPr>
        <w:t>.</w:t>
      </w:r>
      <w:r w:rsidRPr="00157C8C">
        <w:rPr>
          <w:i/>
          <w:iCs/>
        </w:rPr>
        <w:t xml:space="preserve"> </w:t>
      </w:r>
      <w:r w:rsidR="00F154F2">
        <w:rPr>
          <w:i/>
          <w:iCs/>
        </w:rPr>
        <w:t>T</w:t>
      </w:r>
      <w:r w:rsidRPr="00157C8C">
        <w:rPr>
          <w:i/>
          <w:iCs/>
        </w:rPr>
        <w:t xml:space="preserve">herefore, to achieve the best results, it needs to take place shortly after patients’ symptoms cease but within </w:t>
      </w:r>
      <w:r w:rsidR="00157C8C">
        <w:rPr>
          <w:i/>
          <w:iCs/>
        </w:rPr>
        <w:t>a</w:t>
      </w:r>
      <w:r w:rsidRPr="00157C8C">
        <w:rPr>
          <w:i/>
          <w:iCs/>
        </w:rPr>
        <w:t xml:space="preserve"> long enough period to ensure </w:t>
      </w:r>
      <w:r w:rsidR="00157C8C">
        <w:rPr>
          <w:i/>
          <w:iCs/>
        </w:rPr>
        <w:t xml:space="preserve">that </w:t>
      </w:r>
      <w:r w:rsidRPr="00157C8C">
        <w:rPr>
          <w:i/>
          <w:iCs/>
        </w:rPr>
        <w:t>no further transmission occur</w:t>
      </w:r>
      <w:r w:rsidR="00157C8C">
        <w:rPr>
          <w:i/>
          <w:iCs/>
        </w:rPr>
        <w:t>s</w:t>
      </w:r>
      <w:r w:rsidRPr="00157C8C">
        <w:rPr>
          <w:i/>
          <w:iCs/>
        </w:rPr>
        <w:t xml:space="preserve">. For this reason, the Working Party concluded that the optimal time to balance these two factors is different for different types of rooms and areas within the unit. For post-symptomatic patients occupying single rooms, a minimum </w:t>
      </w:r>
      <w:r w:rsidR="00F154F2">
        <w:rPr>
          <w:i/>
          <w:iCs/>
        </w:rPr>
        <w:t xml:space="preserve">of </w:t>
      </w:r>
      <w:r w:rsidRPr="00157C8C">
        <w:rPr>
          <w:i/>
          <w:iCs/>
        </w:rPr>
        <w:t xml:space="preserve">48-hours period is necessary before terminal cleaning takes place, although this period may be longer if recommended by IPC (e.g. if there is a suspicion the person may be a chronic shedder). For shared patient areas and multi-occupancy patient areas, further consideration needs to be given to the risk that the transmission </w:t>
      </w:r>
      <w:r w:rsidR="00157C8C">
        <w:rPr>
          <w:i/>
          <w:iCs/>
        </w:rPr>
        <w:t xml:space="preserve">may have </w:t>
      </w:r>
      <w:r w:rsidRPr="00157C8C">
        <w:rPr>
          <w:i/>
          <w:iCs/>
        </w:rPr>
        <w:t>occurred, and that some</w:t>
      </w:r>
      <w:r w:rsidR="00157C8C">
        <w:rPr>
          <w:i/>
          <w:iCs/>
        </w:rPr>
        <w:t xml:space="preserve"> remaining</w:t>
      </w:r>
      <w:r w:rsidRPr="00157C8C">
        <w:rPr>
          <w:i/>
          <w:iCs/>
        </w:rPr>
        <w:t xml:space="preserve"> individuals may be pre-symptomatic. To allow for </w:t>
      </w:r>
      <w:r w:rsidR="00157C8C">
        <w:rPr>
          <w:i/>
          <w:iCs/>
        </w:rPr>
        <w:t>the</w:t>
      </w:r>
      <w:r w:rsidRPr="00157C8C">
        <w:rPr>
          <w:i/>
          <w:iCs/>
        </w:rPr>
        <w:t xml:space="preserve"> incubation period </w:t>
      </w:r>
      <w:r w:rsidR="00157C8C">
        <w:rPr>
          <w:i/>
          <w:iCs/>
        </w:rPr>
        <w:t>in</w:t>
      </w:r>
      <w:r w:rsidRPr="00157C8C">
        <w:rPr>
          <w:i/>
          <w:iCs/>
        </w:rPr>
        <w:t xml:space="preserve"> pre-symptomatic cases, the Working Party concluded that in these areas, terminal cleaning needs to be undertaken 72 hours after the symptoms last occurred.</w:t>
      </w:r>
      <w:r>
        <w:rPr>
          <w:i/>
          <w:iCs/>
        </w:rPr>
        <w:t xml:space="preserve"> </w:t>
      </w:r>
      <w:r w:rsidR="00157C8C" w:rsidRPr="00157C8C">
        <w:rPr>
          <w:i/>
          <w:iCs/>
        </w:rPr>
        <w:t>Where all patients have been discharged (i.e. empty areas) terminal cleaning can take place immediately.</w:t>
      </w:r>
    </w:p>
    <w:p w14:paraId="16F21949" w14:textId="77777777" w:rsidR="00EC7A69" w:rsidRPr="00E471FB" w:rsidRDefault="00EC7A69" w:rsidP="00CF7116">
      <w:pPr>
        <w:spacing w:line="276" w:lineRule="auto"/>
        <w:rPr>
          <w:b/>
          <w:bCs/>
        </w:rPr>
      </w:pPr>
      <w:r w:rsidRPr="00E471FB">
        <w:rPr>
          <w:b/>
          <w:bCs/>
        </w:rPr>
        <w:t>Recommendations:</w:t>
      </w:r>
    </w:p>
    <w:p w14:paraId="60C0B10D" w14:textId="48777430" w:rsidR="00EC7A69" w:rsidRPr="00DC6740" w:rsidRDefault="00EC7A69" w:rsidP="00CF7116">
      <w:pPr>
        <w:spacing w:before="240" w:line="276" w:lineRule="auto"/>
      </w:pPr>
      <w:r w:rsidRPr="00157C8C">
        <w:rPr>
          <w:b/>
          <w:bCs/>
        </w:rPr>
        <w:t>1</w:t>
      </w:r>
      <w:r w:rsidR="00572A96">
        <w:rPr>
          <w:b/>
          <w:bCs/>
        </w:rPr>
        <w:t>8</w:t>
      </w:r>
      <w:r w:rsidRPr="00157C8C">
        <w:rPr>
          <w:b/>
          <w:bCs/>
        </w:rPr>
        <w:t>.1</w:t>
      </w:r>
      <w:r w:rsidR="00572A96">
        <w:rPr>
          <w:b/>
          <w:bCs/>
        </w:rPr>
        <w:t>:</w:t>
      </w:r>
      <w:r w:rsidRPr="00157C8C">
        <w:t xml:space="preserve"> Conduct terminal cleaning as per local policy.</w:t>
      </w:r>
      <w:r>
        <w:t xml:space="preserve"> </w:t>
      </w:r>
    </w:p>
    <w:p w14:paraId="5B552E04" w14:textId="77777777" w:rsidR="00EC7A69" w:rsidRPr="00E471FB" w:rsidRDefault="00EC7A69" w:rsidP="00CF7116">
      <w:pPr>
        <w:spacing w:line="276" w:lineRule="auto"/>
        <w:rPr>
          <w:b/>
          <w:bCs/>
        </w:rPr>
      </w:pPr>
      <w:r w:rsidRPr="00E471FB">
        <w:rPr>
          <w:b/>
          <w:bCs/>
        </w:rPr>
        <w:t>Good practice points:</w:t>
      </w:r>
    </w:p>
    <w:p w14:paraId="6DD337AD" w14:textId="06315FDB" w:rsidR="00EC7A69" w:rsidRPr="00157C8C" w:rsidRDefault="00EC7A69" w:rsidP="00CF7116">
      <w:pPr>
        <w:spacing w:before="240" w:line="276" w:lineRule="auto"/>
      </w:pPr>
      <w:r w:rsidRPr="00157C8C">
        <w:rPr>
          <w:b/>
          <w:bCs/>
        </w:rPr>
        <w:t>GPP 1</w:t>
      </w:r>
      <w:r w:rsidR="00572A96">
        <w:rPr>
          <w:b/>
          <w:bCs/>
        </w:rPr>
        <w:t>8</w:t>
      </w:r>
      <w:r w:rsidRPr="00157C8C">
        <w:rPr>
          <w:b/>
          <w:bCs/>
        </w:rPr>
        <w:t>.1</w:t>
      </w:r>
      <w:r w:rsidR="00572A96">
        <w:rPr>
          <w:b/>
          <w:bCs/>
        </w:rPr>
        <w:t>:</w:t>
      </w:r>
      <w:r w:rsidRPr="00157C8C">
        <w:t xml:space="preserve"> </w:t>
      </w:r>
      <w:r w:rsidR="00157C8C" w:rsidRPr="00157C8C">
        <w:t>For occupied single rooms, delay terminal cleaning until at least 48 hours after the patient’s symptoms of</w:t>
      </w:r>
      <w:r w:rsidR="005834C7">
        <w:t xml:space="preserve"> norovirus</w:t>
      </w:r>
      <w:r w:rsidR="00157C8C" w:rsidRPr="00157C8C">
        <w:t xml:space="preserve"> have resolved. Consult the IPC team to establish if there is a need for this period to be extended.</w:t>
      </w:r>
    </w:p>
    <w:p w14:paraId="5B0BDB16" w14:textId="485314C8" w:rsidR="00EC7A69" w:rsidRPr="003E0814" w:rsidRDefault="00EC7A69" w:rsidP="00CF7116">
      <w:pPr>
        <w:spacing w:before="240" w:line="276" w:lineRule="auto"/>
        <w:rPr>
          <w:b/>
          <w:bCs/>
        </w:rPr>
      </w:pPr>
      <w:r w:rsidRPr="00157C8C">
        <w:rPr>
          <w:b/>
          <w:bCs/>
        </w:rPr>
        <w:t>GPP 1</w:t>
      </w:r>
      <w:r w:rsidR="00572A96">
        <w:rPr>
          <w:b/>
          <w:bCs/>
        </w:rPr>
        <w:t>8</w:t>
      </w:r>
      <w:r w:rsidRPr="00157C8C">
        <w:rPr>
          <w:b/>
          <w:bCs/>
        </w:rPr>
        <w:t>.2</w:t>
      </w:r>
      <w:r w:rsidR="00572A96">
        <w:rPr>
          <w:b/>
          <w:bCs/>
        </w:rPr>
        <w:t>:</w:t>
      </w:r>
      <w:r w:rsidRPr="00157C8C">
        <w:rPr>
          <w:b/>
          <w:bCs/>
        </w:rPr>
        <w:t xml:space="preserve"> </w:t>
      </w:r>
      <w:r w:rsidR="00157C8C" w:rsidRPr="00157C8C">
        <w:t>For occupied, shared patient areas or multi-occupancy rooms, undertake terminal cleaning a minimum of 72 hours after the last symptoms of norovirus have resolved.</w:t>
      </w:r>
    </w:p>
    <w:p w14:paraId="3E09A2DD" w14:textId="77777777" w:rsidR="00EC7A69" w:rsidRPr="00EC7A69" w:rsidRDefault="00EC7A69" w:rsidP="00CF7116">
      <w:pPr>
        <w:spacing w:before="240" w:line="276" w:lineRule="auto"/>
        <w:rPr>
          <w:rFonts w:eastAsia="Times New Roman"/>
        </w:rPr>
      </w:pPr>
    </w:p>
    <w:p w14:paraId="044C3D40" w14:textId="2C29F83E" w:rsidR="00E758C0" w:rsidRDefault="00E758C0" w:rsidP="00CF7116">
      <w:pPr>
        <w:pStyle w:val="Heading2"/>
        <w:spacing w:before="240" w:after="160" w:line="276" w:lineRule="auto"/>
      </w:pPr>
      <w:r>
        <w:t>8.19</w:t>
      </w:r>
      <w:r>
        <w:tab/>
      </w:r>
      <w:r w:rsidRPr="00E758C0">
        <w:t>How should the cleaning equipment be handled after being used in areas affected by norovirus?</w:t>
      </w:r>
    </w:p>
    <w:p w14:paraId="612524C2" w14:textId="3CBB575A" w:rsidR="00AD55E3" w:rsidRPr="00AD55E3" w:rsidRDefault="00AD55E3" w:rsidP="00CF7116">
      <w:pPr>
        <w:spacing w:before="240" w:line="276" w:lineRule="auto"/>
      </w:pPr>
      <w:r>
        <w:t>Cleaning equipment can become contaminated after contact with soiled surfaces. If cleaning equipment is not changed or decontaminated, this increases a possibility of norovirus transfer from one surface to another and may therefore increase the risk of transmission to unaffected individuals. Previous guidelines</w:t>
      </w:r>
      <w:r w:rsidR="00AC0F9C" w:rsidRPr="00AC0F9C">
        <w:rPr>
          <w:vertAlign w:val="superscript"/>
        </w:rPr>
        <w:t>1</w:t>
      </w:r>
      <w:r>
        <w:t xml:space="preserve"> recommended </w:t>
      </w:r>
      <w:r w:rsidRPr="00364DC7">
        <w:t xml:space="preserve">that disposable materials are used whenever possible, and that </w:t>
      </w:r>
      <w:r w:rsidR="00364DC7" w:rsidRPr="00364DC7">
        <w:t xml:space="preserve">if </w:t>
      </w:r>
      <w:r w:rsidRPr="00364DC7">
        <w:t xml:space="preserve">re-usable cleaning equipment </w:t>
      </w:r>
      <w:r w:rsidR="00364DC7" w:rsidRPr="00364DC7">
        <w:t xml:space="preserve">is used, it </w:t>
      </w:r>
      <w:r w:rsidRPr="00364DC7">
        <w:t xml:space="preserve">should be dedicated to clean affected areas </w:t>
      </w:r>
      <w:r w:rsidR="00364DC7" w:rsidRPr="00364DC7">
        <w:t xml:space="preserve">only </w:t>
      </w:r>
      <w:r w:rsidRPr="00364DC7">
        <w:t xml:space="preserve">and that it should be decontaminated after each use. This approach is widely accepted as </w:t>
      </w:r>
      <w:r w:rsidR="004B70A3" w:rsidRPr="00364DC7">
        <w:t>good practice</w:t>
      </w:r>
      <w:r w:rsidRPr="00364DC7">
        <w:t xml:space="preserve"> but</w:t>
      </w:r>
      <w:r>
        <w:t xml:space="preserve"> the evidence from published literature </w:t>
      </w:r>
      <w:r w:rsidR="00127C14">
        <w:t xml:space="preserve">at the time these guidelines were developed </w:t>
      </w:r>
      <w:r>
        <w:t>was lacking. It is therefore still unclear whether reus</w:t>
      </w:r>
      <w:r w:rsidR="004B70A3">
        <w:t>ing</w:t>
      </w:r>
      <w:r>
        <w:t xml:space="preserve"> cleaning materials </w:t>
      </w:r>
      <w:r w:rsidR="004B70A3">
        <w:t>is</w:t>
      </w:r>
      <w:r>
        <w:t xml:space="preserve"> associated with </w:t>
      </w:r>
      <w:r w:rsidR="00127C14">
        <w:t>an</w:t>
      </w:r>
      <w:r>
        <w:t xml:space="preserve"> increased risk of </w:t>
      </w:r>
      <w:r>
        <w:lastRenderedPageBreak/>
        <w:t xml:space="preserve">norovirus transmission and whether using disposable cleaning equipment, decontaminating re-usable </w:t>
      </w:r>
      <w:r w:rsidR="00127C14">
        <w:t>equipment,</w:t>
      </w:r>
      <w:r>
        <w:t xml:space="preserve"> or dedicating the equipment to specific areas </w:t>
      </w:r>
      <w:r w:rsidR="00127C14">
        <w:t>is</w:t>
      </w:r>
      <w:r>
        <w:t xml:space="preserve"> clinically or cost effective. </w:t>
      </w:r>
    </w:p>
    <w:p w14:paraId="00EA05D4" w14:textId="3B267179" w:rsidR="00EC7A69" w:rsidRDefault="00EC7A69" w:rsidP="00CF7116">
      <w:pPr>
        <w:spacing w:before="240" w:line="276" w:lineRule="auto"/>
      </w:pPr>
      <w:r w:rsidRPr="0095272F">
        <w:t xml:space="preserve">There was </w:t>
      </w:r>
      <w:r w:rsidRPr="008E169C">
        <w:t>weak evidence</w:t>
      </w:r>
      <w:r>
        <w:t xml:space="preserve"> from one cross-sectional study,</w:t>
      </w:r>
      <w:r w:rsidR="001C027E">
        <w:rPr>
          <w:vertAlign w:val="superscript"/>
        </w:rPr>
        <w:t>21</w:t>
      </w:r>
      <w:r>
        <w:t xml:space="preserve"> one prospective cohort</w:t>
      </w:r>
      <w:r w:rsidRPr="009A2010">
        <w:rPr>
          <w:vertAlign w:val="superscript"/>
        </w:rPr>
        <w:t>2</w:t>
      </w:r>
      <w:r w:rsidR="001C027E">
        <w:rPr>
          <w:vertAlign w:val="superscript"/>
        </w:rPr>
        <w:t>21</w:t>
      </w:r>
      <w:r>
        <w:t xml:space="preserve"> and two outbreak studies</w:t>
      </w:r>
      <w:r w:rsidR="001C027E">
        <w:rPr>
          <w:vertAlign w:val="superscript"/>
        </w:rPr>
        <w:t>26,40</w:t>
      </w:r>
      <w:r w:rsidRPr="009A2010">
        <w:t xml:space="preserve"> </w:t>
      </w:r>
      <w:r>
        <w:t>which assessed the effectiveness of changing the cleaning equipment during outbreak</w:t>
      </w:r>
      <w:r w:rsidR="00623363">
        <w:t>s</w:t>
      </w:r>
      <w:r>
        <w:t xml:space="preserve"> and one outbreak study</w:t>
      </w:r>
      <w:r w:rsidR="001C027E">
        <w:rPr>
          <w:vertAlign w:val="superscript"/>
        </w:rPr>
        <w:t>222</w:t>
      </w:r>
      <w:r>
        <w:t xml:space="preserve"> which reported what happens when the equipment is not changed. The cross-sectional study</w:t>
      </w:r>
      <w:r w:rsidR="001C027E">
        <w:rPr>
          <w:vertAlign w:val="superscript"/>
        </w:rPr>
        <w:t>21</w:t>
      </w:r>
      <w:r>
        <w:t xml:space="preserve"> which compared the risk of infection in residents in nursing homes which used new cleaning materials vs the residents in the nursing homes which did not, reported no benefit: the risk was higher for the nursing homes which used new cleaning materials for each room (OR </w:t>
      </w:r>
      <w:r w:rsidRPr="009A2010">
        <w:t>1.94 [</w:t>
      </w:r>
      <w:r>
        <w:t xml:space="preserve">95%CI </w:t>
      </w:r>
      <w:r w:rsidRPr="009A2010">
        <w:t>1.20-3.15]</w:t>
      </w:r>
      <w:r>
        <w:t xml:space="preserve">) as well as for nursing homes which used new cleaning materials for every toilet (OR </w:t>
      </w:r>
      <w:r w:rsidRPr="009A2010">
        <w:t>1.89 [1.23-2.90]</w:t>
      </w:r>
      <w:r>
        <w:t>). One prospective cohort study,</w:t>
      </w:r>
      <w:r>
        <w:rPr>
          <w:vertAlign w:val="superscript"/>
        </w:rPr>
        <w:t>2</w:t>
      </w:r>
      <w:r w:rsidR="001C027E">
        <w:rPr>
          <w:vertAlign w:val="superscript"/>
        </w:rPr>
        <w:t>21</w:t>
      </w:r>
      <w:r>
        <w:t xml:space="preserve"> which compared using microfibre cloths changed between each patient and combined with steam technology for disinfection vs using traditional cleaning with disinfection, reported that neither method was inferior during the outbreaks and both outbreaks were contained within one unit each. The authors reported that there were 22 cases in the microfibre group and 14 cases in </w:t>
      </w:r>
      <w:r w:rsidR="00E2003E">
        <w:t>NaCl-</w:t>
      </w:r>
      <w:r>
        <w:t xml:space="preserve"> group (p-value not provided but not significant) and that the duration of the outbreak was also similar (</w:t>
      </w:r>
      <w:r w:rsidR="001128A6">
        <w:t>seven</w:t>
      </w:r>
      <w:r>
        <w:t xml:space="preserve"> days vs </w:t>
      </w:r>
      <w:r w:rsidR="001128A6">
        <w:t>nine</w:t>
      </w:r>
      <w:r>
        <w:t xml:space="preserve"> days in microfibre and traditional cleaning respectively). In one outbreak</w:t>
      </w:r>
      <w:r w:rsidR="001C027E">
        <w:rPr>
          <w:vertAlign w:val="superscript"/>
        </w:rPr>
        <w:t>40</w:t>
      </w:r>
      <w:r>
        <w:t xml:space="preserve"> which affected 101 cases and lasted for 44 days, the authors reported that using a mop head only once for cleaning vomiting and faecal spills was successful in controlling outbreaks on different units. In another outbreak,</w:t>
      </w:r>
      <w:r w:rsidR="001C027E">
        <w:rPr>
          <w:vertAlign w:val="superscript"/>
        </w:rPr>
        <w:t>26</w:t>
      </w:r>
      <w:r>
        <w:t xml:space="preserve"> which affected 355 cases and lasted over two months, introducing interventions, which included changing the disinfection solutions and mop heads after cleaning floors of three patient rooms, did not seem to have an effect on the course of an outbreak. In both outbreaks, cases were reported to occur in more than one unit, however these occurred before the outbreak was recognised and the interventions were in place. The last study</w:t>
      </w:r>
      <w:r w:rsidR="001C027E">
        <w:rPr>
          <w:vertAlign w:val="superscript"/>
        </w:rPr>
        <w:t>222</w:t>
      </w:r>
      <w:r>
        <w:t xml:space="preserve"> described how a cleaner, who had a faecal incident in a nursing home where he worked, triggered an outbreak after he continued to use the same mop. The study reported that after cleaning the faecal contamination from the floor, he continued using the same mop for cleaning other floors in the nursing home. This preceded an emergency evacuation training which was attended by most of the staff later that day. Subsequently, 86 cases were affected in an outbreak which lasted for ten days. Most staff cases occurred following the training, but some secondary person-to-person spread to patients and other staff was also evident. This outbreak affected further 22 cases in other institutions, although this was not associated with using the contaminated equipment. </w:t>
      </w:r>
    </w:p>
    <w:p w14:paraId="2CEE44E9" w14:textId="7FCB5C73" w:rsidR="00EC7A69" w:rsidRDefault="00EC7A69" w:rsidP="00CF7116">
      <w:pPr>
        <w:spacing w:before="240" w:line="276" w:lineRule="auto"/>
      </w:pPr>
      <w:r w:rsidRPr="0095272F">
        <w:t xml:space="preserve">There was </w:t>
      </w:r>
      <w:r w:rsidRPr="008E169C">
        <w:t>weak evidence</w:t>
      </w:r>
      <w:r>
        <w:t xml:space="preserve"> from one outbreak report</w:t>
      </w:r>
      <w:r w:rsidR="001C027E">
        <w:rPr>
          <w:vertAlign w:val="superscript"/>
        </w:rPr>
        <w:t>59</w:t>
      </w:r>
      <w:r>
        <w:rPr>
          <w:vertAlign w:val="superscript"/>
        </w:rPr>
        <w:t xml:space="preserve"> </w:t>
      </w:r>
      <w:r>
        <w:t>which reported an effect of re-using cleaning equipment during a norovirus outbreak outside the healthcare setting. The outbreak, which occurred in a large hotel, affected 116 cases and lasted for approximately 14 days. It was reported that the outbreak was initiated by infected food handlers but continued despite these staff being excluded from work. One of the factors, which authors reported contributed to the outbreak progression, was using the same cleaning materials and gloves for cleaning all rooms.</w:t>
      </w:r>
    </w:p>
    <w:p w14:paraId="4BD661DB" w14:textId="095D1DE9" w:rsidR="00EC7A69" w:rsidRDefault="00EC7A69"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cost of </w:t>
      </w:r>
      <w:r>
        <w:rPr>
          <w:rFonts w:cstheme="minorHAnsi"/>
        </w:rPr>
        <w:t>using new equipment for cleaning</w:t>
      </w:r>
      <w:r w:rsidRPr="002404F9">
        <w:rPr>
          <w:rFonts w:cstheme="minorHAnsi"/>
        </w:rPr>
        <w:t xml:space="preserve"> </w:t>
      </w:r>
      <w:r>
        <w:rPr>
          <w:rFonts w:cstheme="minorHAnsi"/>
        </w:rPr>
        <w:t>during</w:t>
      </w:r>
      <w:r w:rsidRPr="002404F9">
        <w:rPr>
          <w:rFonts w:cstheme="minorHAnsi"/>
        </w:rPr>
        <w:t xml:space="preserve"> the outbreaks </w:t>
      </w:r>
      <w:r>
        <w:rPr>
          <w:rFonts w:cstheme="minorHAnsi"/>
        </w:rPr>
        <w:t>in any</w:t>
      </w:r>
      <w:r w:rsidRPr="002404F9">
        <w:rPr>
          <w:rFonts w:cstheme="minorHAnsi"/>
        </w:rPr>
        <w:t xml:space="preserve"> settings.</w:t>
      </w:r>
    </w:p>
    <w:p w14:paraId="7A74FCC6" w14:textId="2F7E34F7" w:rsidR="00EC7A69" w:rsidRDefault="00EC7A69" w:rsidP="00CF7116">
      <w:pPr>
        <w:spacing w:before="240" w:line="276" w:lineRule="auto"/>
      </w:pPr>
      <w:r w:rsidRPr="0095272F">
        <w:t xml:space="preserve">There was </w:t>
      </w:r>
      <w:r w:rsidRPr="008E169C">
        <w:t>weak evidence</w:t>
      </w:r>
      <w:r>
        <w:t xml:space="preserve"> from three laboratory studies</w:t>
      </w:r>
      <w:r w:rsidR="001C027E" w:rsidRPr="001C027E">
        <w:rPr>
          <w:vertAlign w:val="superscript"/>
        </w:rPr>
        <w:t>225,247,261</w:t>
      </w:r>
      <w:r>
        <w:rPr>
          <w:vertAlign w:val="superscript"/>
        </w:rPr>
        <w:t xml:space="preserve"> </w:t>
      </w:r>
      <w:r>
        <w:t>which assessed the effect of re-using cleaning equipment on surface contamination. One study</w:t>
      </w:r>
      <w:r w:rsidR="001C027E">
        <w:rPr>
          <w:vertAlign w:val="superscript"/>
        </w:rPr>
        <w:t>225</w:t>
      </w:r>
      <w:r>
        <w:t xml:space="preserve"> used five different protocols for evaluating the effect of cleaning or disinfecting with </w:t>
      </w:r>
      <w:r w:rsidR="00E2003E">
        <w:t>NaCl-</w:t>
      </w:r>
      <w:r>
        <w:t xml:space="preserve"> on melamine surfaces. Alongside the </w:t>
      </w:r>
      <w:r>
        <w:lastRenderedPageBreak/>
        <w:t>effectiveness of the disinfection, the authors reported that they also re-</w:t>
      </w:r>
      <w:r w:rsidRPr="002404F9">
        <w:t xml:space="preserve">used </w:t>
      </w:r>
      <w:r>
        <w:t xml:space="preserve">the </w:t>
      </w:r>
      <w:r w:rsidRPr="002404F9">
        <w:t>cloth</w:t>
      </w:r>
      <w:r>
        <w:t>,</w:t>
      </w:r>
      <w:r w:rsidRPr="002404F9">
        <w:t xml:space="preserve"> </w:t>
      </w:r>
      <w:r>
        <w:t xml:space="preserve">which was used to wipe of the surface after disinfection, to </w:t>
      </w:r>
      <w:r w:rsidRPr="002404F9">
        <w:t xml:space="preserve">wipe a new melamine surface. </w:t>
      </w:r>
      <w:r>
        <w:t xml:space="preserve">The studies reported that </w:t>
      </w:r>
      <w:r w:rsidRPr="002404F9">
        <w:t xml:space="preserve">in situations where </w:t>
      </w:r>
      <w:r>
        <w:t>HNV</w:t>
      </w:r>
      <w:r w:rsidRPr="002404F9">
        <w:t xml:space="preserve"> was eliminated (n=35) virus was not transferred to a new surface, but in 34/35 </w:t>
      </w:r>
      <w:r>
        <w:t xml:space="preserve">(97%) </w:t>
      </w:r>
      <w:r w:rsidRPr="002404F9">
        <w:t xml:space="preserve">of scenarios where virus remained </w:t>
      </w:r>
      <w:r>
        <w:t>on the</w:t>
      </w:r>
      <w:r w:rsidRPr="002404F9">
        <w:t xml:space="preserve"> surface, reusing the cloth resulted in cross-contamination to the new surface.</w:t>
      </w:r>
      <w:r>
        <w:t xml:space="preserve"> In another study,</w:t>
      </w:r>
      <w:r w:rsidR="001C027E">
        <w:rPr>
          <w:vertAlign w:val="superscript"/>
        </w:rPr>
        <w:t>247</w:t>
      </w:r>
      <w:r>
        <w:t xml:space="preserve"> which assessed the effectiveness of </w:t>
      </w:r>
      <w:proofErr w:type="spellStart"/>
      <w:r w:rsidRPr="002404F9">
        <w:t>Serquet</w:t>
      </w:r>
      <w:proofErr w:type="spellEnd"/>
      <w:r w:rsidRPr="002404F9">
        <w:t>® wipes (</w:t>
      </w:r>
      <w:r>
        <w:t xml:space="preserve">coated in </w:t>
      </w:r>
      <w:r w:rsidRPr="002404F9">
        <w:t xml:space="preserve">technology that produces singlet oxygen, when exposed to visible light) </w:t>
      </w:r>
      <w:r>
        <w:t xml:space="preserve">vs </w:t>
      </w:r>
      <w:r w:rsidRPr="002404F9">
        <w:t xml:space="preserve">uncoated </w:t>
      </w:r>
      <w:r>
        <w:t xml:space="preserve">similar </w:t>
      </w:r>
      <w:r w:rsidRPr="002404F9">
        <w:t>wipes and viscose wipes</w:t>
      </w:r>
      <w:r>
        <w:t xml:space="preserve"> on stainless steel surfaces, part of an experiment involved re-using the wipes to assess the effect of cross-contamination. The study reported that between 0.2% and 0.6% of viral copies were transferred to a new surface and there was n</w:t>
      </w:r>
      <w:r w:rsidRPr="002404F9">
        <w:t>o difference in transfer rate between the type of wipes or the type of virus</w:t>
      </w:r>
      <w:r>
        <w:t xml:space="preserve"> tested (HNV GI and GII and MNV). The last study</w:t>
      </w:r>
      <w:r w:rsidR="001C027E">
        <w:rPr>
          <w:vertAlign w:val="superscript"/>
        </w:rPr>
        <w:t>261</w:t>
      </w:r>
      <w:r>
        <w:t xml:space="preserve"> assessed the rate at which five different types of cleaning cloths can transfer FCV from one surface to another. The study reported that two types of cotton/cellulose cloths as well as microfibre cloths transferred less virus from one acrylic surface to another when compared to a non-woven cloth and terry cotton cloth (3.4 and 8.5 log</w:t>
      </w:r>
      <w:r w:rsidRPr="002404F9">
        <w:rPr>
          <w:vertAlign w:val="subscript"/>
        </w:rPr>
        <w:t>10</w:t>
      </w:r>
      <w:r>
        <w:t xml:space="preserve"> copies vs 330 and 830log</w:t>
      </w:r>
      <w:r w:rsidRPr="002404F9">
        <w:rPr>
          <w:vertAlign w:val="subscript"/>
        </w:rPr>
        <w:t>10</w:t>
      </w:r>
      <w:r>
        <w:t xml:space="preserve"> copies respectively, p&lt;0.0001). Similar findings were obtained for stainless steel surfaces with cellulose cotton cloth transferring significantly less viral copies than non-woven cloth (data not provided, p&lt;0.0001) and terry cloth (data not provided, p-=0.0009) and microfibre cloth transferring significantly less than a non-woven cloth (data not provided, p=0.0110). </w:t>
      </w:r>
    </w:p>
    <w:p w14:paraId="75123F8C" w14:textId="7274F997" w:rsidR="00EC7A69" w:rsidRPr="00F96CBB" w:rsidRDefault="00EC7A69" w:rsidP="00CF7116">
      <w:pPr>
        <w:spacing w:before="240" w:line="276" w:lineRule="auto"/>
        <w:rPr>
          <w:rFonts w:cstheme="minorHAnsi"/>
          <w:i/>
          <w:iCs/>
        </w:rPr>
      </w:pPr>
      <w:r w:rsidRPr="00F96CBB">
        <w:rPr>
          <w:rFonts w:cstheme="minorHAnsi"/>
          <w:i/>
          <w:iCs/>
        </w:rPr>
        <w:t xml:space="preserve">The Working Party considered the above evidence and concluded that despite only few, low quality studies being available on this subject, prudence dictates that the practice of re-using contaminated equipment runs the risk of cross-contamination from one area to another. The laboratory studies included in this evidence further suggest that the risk may differ depending on the </w:t>
      </w:r>
      <w:r w:rsidR="00F96CBB">
        <w:rPr>
          <w:rFonts w:cstheme="minorHAnsi"/>
          <w:i/>
          <w:iCs/>
        </w:rPr>
        <w:t>nature</w:t>
      </w:r>
      <w:r w:rsidRPr="00F96CBB">
        <w:rPr>
          <w:rFonts w:cstheme="minorHAnsi"/>
          <w:i/>
          <w:iCs/>
        </w:rPr>
        <w:t xml:space="preserve"> of the cleaning equipment, however the risk cannot be completely eliminated if the cleaning equipment is reused. Therefore, despite the limited evidence, the Working Party agreed that it was sensible to recommend that cleaning equipment should not be re-used for cleaning non-contaminated areas. As with the above conclusions about the quality of cleaning, staff need to receive appropriate training to ensure that this practice does not take place. </w:t>
      </w:r>
    </w:p>
    <w:p w14:paraId="581CD55E" w14:textId="77777777" w:rsidR="00EC7A69" w:rsidRPr="00E471FB" w:rsidRDefault="00EC7A69" w:rsidP="00CF7116">
      <w:pPr>
        <w:spacing w:line="276" w:lineRule="auto"/>
        <w:rPr>
          <w:b/>
          <w:bCs/>
        </w:rPr>
      </w:pPr>
      <w:r w:rsidRPr="00E471FB">
        <w:rPr>
          <w:b/>
          <w:bCs/>
        </w:rPr>
        <w:t>Recommendations:</w:t>
      </w:r>
    </w:p>
    <w:p w14:paraId="65326C8F" w14:textId="76E284E0" w:rsidR="00EC7A69" w:rsidRPr="00F96CBB" w:rsidRDefault="00EC7A69" w:rsidP="00CF7116">
      <w:pPr>
        <w:spacing w:before="240" w:line="276" w:lineRule="auto"/>
      </w:pPr>
      <w:r w:rsidRPr="00F96CBB">
        <w:rPr>
          <w:b/>
          <w:bCs/>
        </w:rPr>
        <w:t>1</w:t>
      </w:r>
      <w:r w:rsidR="00E471FB">
        <w:rPr>
          <w:b/>
          <w:bCs/>
        </w:rPr>
        <w:t>9</w:t>
      </w:r>
      <w:r w:rsidRPr="00F96CBB">
        <w:rPr>
          <w:b/>
          <w:bCs/>
        </w:rPr>
        <w:t>.1</w:t>
      </w:r>
      <w:r w:rsidR="00E471FB">
        <w:rPr>
          <w:b/>
          <w:bCs/>
        </w:rPr>
        <w:t>:</w:t>
      </w:r>
      <w:r w:rsidRPr="00F96CBB">
        <w:t xml:space="preserve"> Do not reuse cleaning equipment following the cleaning of contaminated areas. </w:t>
      </w:r>
    </w:p>
    <w:p w14:paraId="5A7B9BFD" w14:textId="77777777" w:rsidR="00EC7A69" w:rsidRPr="00E471FB" w:rsidRDefault="00EC7A69" w:rsidP="00CF7116">
      <w:pPr>
        <w:spacing w:line="276" w:lineRule="auto"/>
        <w:rPr>
          <w:b/>
          <w:bCs/>
        </w:rPr>
      </w:pPr>
      <w:r w:rsidRPr="00E471FB">
        <w:rPr>
          <w:b/>
          <w:bCs/>
        </w:rPr>
        <w:t>Good practice points:</w:t>
      </w:r>
    </w:p>
    <w:p w14:paraId="531C2448" w14:textId="7B2C0CBD" w:rsidR="00EC7A69" w:rsidRDefault="00EC7A69" w:rsidP="00CF7116">
      <w:pPr>
        <w:spacing w:before="240" w:line="276" w:lineRule="auto"/>
      </w:pPr>
      <w:r w:rsidRPr="00F96CBB">
        <w:rPr>
          <w:b/>
          <w:bCs/>
        </w:rPr>
        <w:t>GPP 1</w:t>
      </w:r>
      <w:r w:rsidR="00E471FB">
        <w:rPr>
          <w:b/>
          <w:bCs/>
        </w:rPr>
        <w:t>9</w:t>
      </w:r>
      <w:r w:rsidRPr="00F96CBB">
        <w:rPr>
          <w:b/>
          <w:bCs/>
        </w:rPr>
        <w:t>.1</w:t>
      </w:r>
      <w:r w:rsidR="00E471FB">
        <w:rPr>
          <w:b/>
          <w:bCs/>
        </w:rPr>
        <w:t>:</w:t>
      </w:r>
      <w:r w:rsidRPr="00F96CBB">
        <w:t xml:space="preserve"> Provide training to staff to ensure </w:t>
      </w:r>
      <w:r w:rsidR="00F96CBB">
        <w:t xml:space="preserve">that an </w:t>
      </w:r>
      <w:r w:rsidRPr="00F96CBB">
        <w:t>appropriate sequence of cleaning takes place and that the equipment is changed when required.</w:t>
      </w:r>
      <w:r>
        <w:t xml:space="preserve"> </w:t>
      </w:r>
    </w:p>
    <w:p w14:paraId="00881DC0" w14:textId="77777777" w:rsidR="00EC7A69" w:rsidRPr="00EC7A69" w:rsidRDefault="00EC7A69" w:rsidP="00CF7116">
      <w:pPr>
        <w:spacing w:before="240" w:line="276" w:lineRule="auto"/>
        <w:rPr>
          <w:rFonts w:eastAsia="Times New Roman"/>
        </w:rPr>
      </w:pPr>
    </w:p>
    <w:p w14:paraId="06C45632" w14:textId="3E06E2D8" w:rsidR="00E758C0" w:rsidRDefault="00E758C0" w:rsidP="00CF7116">
      <w:pPr>
        <w:pStyle w:val="Heading2"/>
        <w:spacing w:before="240" w:after="160" w:line="276" w:lineRule="auto"/>
      </w:pPr>
      <w:r>
        <w:t>8.20</w:t>
      </w:r>
      <w:r w:rsidRPr="00E758C0">
        <w:tab/>
        <w:t>What is the clinical and cost-effectiveness of enhanced routine cleaning during an outbreak of norovirus?</w:t>
      </w:r>
    </w:p>
    <w:p w14:paraId="293953BC" w14:textId="7A12F8F3" w:rsidR="00157C8C" w:rsidRDefault="00157C8C" w:rsidP="00CF7116">
      <w:pPr>
        <w:spacing w:before="240" w:line="276" w:lineRule="auto"/>
      </w:pPr>
      <w:r>
        <w:t>It is a common practice during norovirus outbreaks to introduce additional cleaning routines to prevent possible transmission from fomites. Previous guidelines</w:t>
      </w:r>
      <w:r w:rsidR="00AC0F9C" w:rsidRPr="00AC0F9C">
        <w:rPr>
          <w:vertAlign w:val="superscript"/>
        </w:rPr>
        <w:t>1</w:t>
      </w:r>
      <w:r>
        <w:t xml:space="preserve"> recommended that the affected facilities should i</w:t>
      </w:r>
      <w:r w:rsidRPr="00157C8C">
        <w:t>ntensify cleaning</w:t>
      </w:r>
      <w:r>
        <w:t xml:space="preserve"> and that the t</w:t>
      </w:r>
      <w:r w:rsidRPr="00157C8C">
        <w:t>oilets used by affected patients must be included</w:t>
      </w:r>
      <w:r>
        <w:t xml:space="preserve"> in this process. However, it is still not clear whether enhanced cleaning offers any clinical benefit which </w:t>
      </w:r>
      <w:r>
        <w:lastRenderedPageBreak/>
        <w:t xml:space="preserve">overweighs the cost of additional resources to perform it. It is also not known how often cleaning should occur and which areas need to be cleaned and disinfected more often. There is also a concern that reliance on enhanced cleaning may prevent an introduction of more conventional methods to control an outbreak (i.e. isolating infected individuals) and provide the facilities with a false sense of security that the risk of transmission is minimised. </w:t>
      </w:r>
    </w:p>
    <w:p w14:paraId="0B4433D2" w14:textId="77777777" w:rsidR="00EC7A69" w:rsidRDefault="00EC7A69" w:rsidP="00CF7116">
      <w:pPr>
        <w:pStyle w:val="Heading3"/>
        <w:spacing w:line="276" w:lineRule="auto"/>
      </w:pPr>
      <w:r>
        <w:t>Increased frequency of cleaning</w:t>
      </w:r>
    </w:p>
    <w:p w14:paraId="5284A4CA" w14:textId="71D71BE2" w:rsidR="00EC7A69" w:rsidRDefault="00EC7A69" w:rsidP="00CF7116">
      <w:pPr>
        <w:spacing w:before="240" w:line="276" w:lineRule="auto"/>
      </w:pPr>
      <w:r w:rsidRPr="0095272F">
        <w:t xml:space="preserve">There was </w:t>
      </w:r>
      <w:r w:rsidRPr="003E0814">
        <w:t>weak evidence</w:t>
      </w:r>
      <w:r w:rsidRPr="0095272F">
        <w:t xml:space="preserve"> </w:t>
      </w:r>
      <w:r>
        <w:t>from eight outbreak studies</w:t>
      </w:r>
      <w:r w:rsidR="00C34233" w:rsidRPr="00C34233">
        <w:rPr>
          <w:vertAlign w:val="superscript"/>
        </w:rPr>
        <w:t>22,25,26,112,34,37,56,28</w:t>
      </w:r>
      <w:r>
        <w:t xml:space="preserve"> which reported increasing the frequency of cleaning, together with other outbreak measures, to control an outbreak in healthcare settings. The studies reported between </w:t>
      </w:r>
      <w:r w:rsidR="001128A6">
        <w:t>three</w:t>
      </w:r>
      <w:r>
        <w:t xml:space="preserve"> to 355 cases (median 15) and lasted from </w:t>
      </w:r>
      <w:r w:rsidR="001128A6">
        <w:t>five</w:t>
      </w:r>
      <w:r>
        <w:t xml:space="preserve"> days to over two months (median 16 days). An increased frequency of cleaning, together with other outbreak measures, was reported to contribute to the resolution of an outbreak in six studies.</w:t>
      </w:r>
      <w:r w:rsidR="00C34233">
        <w:rPr>
          <w:vertAlign w:val="superscript"/>
        </w:rPr>
        <w:t>22</w:t>
      </w:r>
      <w:r w:rsidRPr="00E052DB">
        <w:rPr>
          <w:vertAlign w:val="superscript"/>
        </w:rPr>
        <w:t>,</w:t>
      </w:r>
      <w:r w:rsidR="00C34233">
        <w:rPr>
          <w:vertAlign w:val="superscript"/>
        </w:rPr>
        <w:t>28,34,37,56,</w:t>
      </w:r>
      <w:r w:rsidRPr="00E052DB">
        <w:rPr>
          <w:vertAlign w:val="superscript"/>
        </w:rPr>
        <w:t>1</w:t>
      </w:r>
      <w:r w:rsidR="00C34233">
        <w:rPr>
          <w:vertAlign w:val="superscript"/>
        </w:rPr>
        <w:t>1</w:t>
      </w:r>
      <w:r w:rsidRPr="00E052DB">
        <w:rPr>
          <w:vertAlign w:val="superscript"/>
        </w:rPr>
        <w:t>2</w:t>
      </w:r>
      <w:r>
        <w:t xml:space="preserve"> After the interventions, based on six</w:t>
      </w:r>
      <w:r w:rsidR="00C34233">
        <w:rPr>
          <w:vertAlign w:val="superscript"/>
        </w:rPr>
        <w:t>22,25,28,34,37,56</w:t>
      </w:r>
      <w:r>
        <w:t xml:space="preserve"> and five studies</w:t>
      </w:r>
      <w:r w:rsidR="00C34233" w:rsidRPr="00C34233">
        <w:rPr>
          <w:vertAlign w:val="superscript"/>
        </w:rPr>
        <w:t>22,25,28,34,56</w:t>
      </w:r>
      <w:r>
        <w:t xml:space="preserve"> respectively, the number of cases was between </w:t>
      </w:r>
      <w:r w:rsidR="001128A6">
        <w:t>one</w:t>
      </w:r>
      <w:r>
        <w:t xml:space="preserve"> and 37 (median </w:t>
      </w:r>
      <w:r w:rsidR="001128A6">
        <w:t>four</w:t>
      </w:r>
      <w:r>
        <w:t xml:space="preserve">) and the outbreak lasted for further </w:t>
      </w:r>
      <w:r w:rsidR="001128A6">
        <w:t>three</w:t>
      </w:r>
      <w:r>
        <w:t xml:space="preserve"> to 19 days (median 8.5). One of the two studies</w:t>
      </w:r>
      <w:r w:rsidR="00C34233">
        <w:rPr>
          <w:vertAlign w:val="superscript"/>
        </w:rPr>
        <w:t>25</w:t>
      </w:r>
      <w:r>
        <w:t xml:space="preserve"> which did not report a benefit mentioned that initial control measures (including the enhanced cleaning) were not successful in controlling an outbreak, mentioned that the recurrent cases were a result of re-introduction from another unit and that further measures which controlled an outbreak included </w:t>
      </w:r>
      <w:r w:rsidR="00623363">
        <w:t>monitoring</w:t>
      </w:r>
      <w:r>
        <w:t xml:space="preserve"> the quality of cleaning using an ATP device. Another study</w:t>
      </w:r>
      <w:r w:rsidR="00C34233" w:rsidRPr="00C34233">
        <w:rPr>
          <w:vertAlign w:val="superscript"/>
        </w:rPr>
        <w:t>26</w:t>
      </w:r>
      <w:r>
        <w:t xml:space="preserve"> mentioned that the increased frequency of cleaning, along with other interventions, had no effect on the course of an the outbreak, which was controlled only after a thorough terminal cleaning of one unit and when contact between the patients on the other unit was restricted.</w:t>
      </w:r>
      <w:r w:rsidR="000E41A6">
        <w:t xml:space="preserve"> </w:t>
      </w:r>
    </w:p>
    <w:p w14:paraId="45B2C2FF" w14:textId="41F4FB7B" w:rsidR="00EC7A69" w:rsidRDefault="00EC7A69" w:rsidP="00CF7116">
      <w:pPr>
        <w:spacing w:before="240" w:line="276" w:lineRule="auto"/>
      </w:pPr>
      <w:r w:rsidRPr="0095272F">
        <w:t xml:space="preserve">There was </w:t>
      </w:r>
      <w:r w:rsidRPr="003E0814">
        <w:t>weak evidence</w:t>
      </w:r>
      <w:r w:rsidRPr="0095272F">
        <w:t xml:space="preserve"> </w:t>
      </w:r>
      <w:r>
        <w:t>from four outbreak studies</w:t>
      </w:r>
      <w:r w:rsidR="00C34233">
        <w:t>,</w:t>
      </w:r>
      <w:r w:rsidR="00C34233">
        <w:rPr>
          <w:vertAlign w:val="superscript"/>
        </w:rPr>
        <w:t>45,46,117,183</w:t>
      </w:r>
      <w:r w:rsidR="00C34233" w:rsidRPr="00C34233">
        <w:t xml:space="preserve"> </w:t>
      </w:r>
      <w:r>
        <w:t>which reported increasing the frequency of cleaning, together with other outbreak measures, to control outbreak</w:t>
      </w:r>
      <w:r w:rsidR="00623363">
        <w:t>s</w:t>
      </w:r>
      <w:r>
        <w:t xml:space="preserve"> outside healthcare settings. The outbreaks involved between 196 and over 800 cases (median 486) and lasted between </w:t>
      </w:r>
      <w:r w:rsidR="001128A6">
        <w:t>twelve</w:t>
      </w:r>
      <w:r>
        <w:t xml:space="preserve"> and 20 days (median 15, based on three studies</w:t>
      </w:r>
      <w:r w:rsidR="00C34233">
        <w:rPr>
          <w:vertAlign w:val="superscript"/>
        </w:rPr>
        <w:t>45,46,117</w:t>
      </w:r>
      <w:r>
        <w:t>). Only one study reported the number of cases after the interventions which was 137</w:t>
      </w:r>
      <w:r w:rsidR="00C34233">
        <w:rPr>
          <w:vertAlign w:val="superscript"/>
        </w:rPr>
        <w:t>45</w:t>
      </w:r>
      <w:r>
        <w:t xml:space="preserve"> and two studies reported the duration of an outbreak after the intervention (7</w:t>
      </w:r>
      <w:r w:rsidR="00C34233">
        <w:rPr>
          <w:vertAlign w:val="superscript"/>
        </w:rPr>
        <w:t>45</w:t>
      </w:r>
      <w:r>
        <w:t xml:space="preserve"> and 15 days</w:t>
      </w:r>
      <w:r w:rsidR="00C34233">
        <w:rPr>
          <w:vertAlign w:val="superscript"/>
        </w:rPr>
        <w:t>46</w:t>
      </w:r>
      <w:r>
        <w:t>). Only in one of these studies,</w:t>
      </w:r>
      <w:r w:rsidR="00C34233">
        <w:rPr>
          <w:vertAlign w:val="superscript"/>
        </w:rPr>
        <w:t>46</w:t>
      </w:r>
      <w:r>
        <w:t xml:space="preserve"> did an increased frequency of cleaning, along with other interventions, positively impact the outbreak course, with the authors reporting that cases continued for further 15 days, but at a much lower rate. The remaining three studies which did not report any benefit, reported that the source of contamination was the resort water which needed to be disinfected to terminate the outbreak,</w:t>
      </w:r>
      <w:r w:rsidR="00C34233">
        <w:rPr>
          <w:vertAlign w:val="superscript"/>
        </w:rPr>
        <w:t>117,183</w:t>
      </w:r>
      <w:r>
        <w:t xml:space="preserve"> and that the outbreak on a cruise ship only ended when the ship was terminally disinfected after all passengers disembarked.</w:t>
      </w:r>
      <w:r w:rsidR="00C34233">
        <w:rPr>
          <w:vertAlign w:val="superscript"/>
        </w:rPr>
        <w:t>45</w:t>
      </w:r>
      <w:r>
        <w:t xml:space="preserve"> </w:t>
      </w:r>
    </w:p>
    <w:p w14:paraId="75EF781E" w14:textId="6A301C13" w:rsidR="00EC7A69" w:rsidRDefault="00EC7A69" w:rsidP="00CF7116">
      <w:pPr>
        <w:spacing w:before="240" w:line="276" w:lineRule="auto"/>
      </w:pPr>
      <w:r w:rsidRPr="00A3548D">
        <w:t xml:space="preserve">There was </w:t>
      </w:r>
      <w:r w:rsidRPr="003E0814">
        <w:t>weak evidence</w:t>
      </w:r>
      <w:r w:rsidRPr="0095272F">
        <w:t xml:space="preserve"> </w:t>
      </w:r>
      <w:r w:rsidRPr="00A3548D">
        <w:t>from one outbreak report</w:t>
      </w:r>
      <w:r w:rsidR="00C34233">
        <w:rPr>
          <w:vertAlign w:val="superscript"/>
        </w:rPr>
        <w:t>26</w:t>
      </w:r>
      <w:r w:rsidRPr="00A3548D">
        <w:t xml:space="preserve"> which </w:t>
      </w:r>
      <w:r>
        <w:t>assessed the cost of increased frequency of cleaning</w:t>
      </w:r>
      <w:r w:rsidRPr="00A3548D">
        <w:t xml:space="preserve"> during an outbreak in healthcare settings. The outbreak affected 355 cases and lasted over two months. The entire cleaning cost was $96,961 (approx. £74,000) which included terminal and enhanced cleaning during the outbreak. </w:t>
      </w:r>
    </w:p>
    <w:p w14:paraId="7EDFFBAC" w14:textId="29D5E535"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increased frequency of cleaning outside healthcare settings. </w:t>
      </w:r>
    </w:p>
    <w:p w14:paraId="7A925E3F" w14:textId="77777777" w:rsidR="00EC7A69" w:rsidRDefault="00EC7A69" w:rsidP="00CF7116">
      <w:pPr>
        <w:pStyle w:val="Heading3"/>
        <w:spacing w:line="276" w:lineRule="auto"/>
      </w:pPr>
      <w:r>
        <w:lastRenderedPageBreak/>
        <w:t>Rapidly mobilised team to eliminate contamination</w:t>
      </w:r>
    </w:p>
    <w:p w14:paraId="5C369EBB" w14:textId="6FACB774" w:rsidR="00EC7A69" w:rsidRPr="005058EE" w:rsidRDefault="00EC7A69" w:rsidP="00CF7116">
      <w:pPr>
        <w:spacing w:before="240" w:line="276" w:lineRule="auto"/>
      </w:pPr>
      <w:r w:rsidRPr="0095272F">
        <w:t xml:space="preserve">There was </w:t>
      </w:r>
      <w:r w:rsidRPr="003E0814">
        <w:t>weak evidence</w:t>
      </w:r>
      <w:r w:rsidRPr="0095272F">
        <w:t xml:space="preserve"> </w:t>
      </w:r>
      <w:r>
        <w:t>from one cross sectional study</w:t>
      </w:r>
      <w:r w:rsidRPr="0044583A">
        <w:rPr>
          <w:vertAlign w:val="superscript"/>
        </w:rPr>
        <w:t>2</w:t>
      </w:r>
      <w:r w:rsidR="00C34233">
        <w:rPr>
          <w:vertAlign w:val="superscript"/>
        </w:rPr>
        <w:t>1</w:t>
      </w:r>
      <w:r>
        <w:t xml:space="preserve"> and one outbreak report</w:t>
      </w:r>
      <w:r w:rsidR="00C34233">
        <w:rPr>
          <w:vertAlign w:val="superscript"/>
        </w:rPr>
        <w:t>14</w:t>
      </w:r>
      <w:r>
        <w:t xml:space="preserve"> which reported the effect of a rapidly mobilised team (domestic or healthcare staff) following a vomiting or faecal incident in healthcare settings. One study</w:t>
      </w:r>
      <w:r w:rsidRPr="00830843">
        <w:rPr>
          <w:vertAlign w:val="superscript"/>
        </w:rPr>
        <w:t>2</w:t>
      </w:r>
      <w:r w:rsidR="00C34233">
        <w:rPr>
          <w:vertAlign w:val="superscript"/>
        </w:rPr>
        <w:t>1</w:t>
      </w:r>
      <w:r>
        <w:t xml:space="preserve"> reported a possible benefit of the rapidly mobilised team to clear the contamination following </w:t>
      </w:r>
      <w:r w:rsidR="00623363">
        <w:t xml:space="preserve">a </w:t>
      </w:r>
      <w:r>
        <w:t>vomiting or faecal accident. In nursing homes which immediately disinfected the source of contamination the OR for the incidence of norovirus infection was lower for residents than in those which did not</w:t>
      </w:r>
      <w:r w:rsidRPr="00E21300">
        <w:t xml:space="preserve"> </w:t>
      </w:r>
      <w:r>
        <w:t>(0.60 [CI 95% 0.41-0.88]), although this intervention did not seem to have an effect on staff (OR 0.64 [CI 95% 0.41-1.02]). The outbreak report</w:t>
      </w:r>
      <w:r w:rsidR="00C34233">
        <w:rPr>
          <w:vertAlign w:val="superscript"/>
        </w:rPr>
        <w:t>14</w:t>
      </w:r>
      <w:r>
        <w:t xml:space="preserve"> described an outbreak which affected multiple wards in a hospital which lasted 54 days and involved 173 cases. The authors reported that, among other interventions, the d</w:t>
      </w:r>
      <w:r w:rsidRPr="00E21300">
        <w:t xml:space="preserve">omestic staff </w:t>
      </w:r>
      <w:r>
        <w:t xml:space="preserve">were </w:t>
      </w:r>
      <w:r w:rsidRPr="00E21300">
        <w:t xml:space="preserve">ready to clean up vomit and faeces </w:t>
      </w:r>
      <w:r>
        <w:t>and</w:t>
      </w:r>
      <w:r w:rsidRPr="00E21300">
        <w:t xml:space="preserve"> perform deep-cleaning promptly</w:t>
      </w:r>
      <w:r>
        <w:t xml:space="preserve"> and that the entire hospital was cleaned and disinfected and that these two interventions worked particularly well in controlling an outbreak. The authors reported that an additional cost of cleaning and disinfection (including enhanced cleaning) was £3,500. </w:t>
      </w:r>
    </w:p>
    <w:p w14:paraId="367451E9" w14:textId="79AA1A16" w:rsidR="00EC7A69" w:rsidRDefault="00EC7A69" w:rsidP="00CF7116">
      <w:pPr>
        <w:spacing w:before="240" w:line="276" w:lineRule="auto"/>
      </w:pPr>
      <w:r w:rsidRPr="00E21300">
        <w:t xml:space="preserve">There was </w:t>
      </w:r>
      <w:r w:rsidRPr="003E0814">
        <w:t>weak evidence</w:t>
      </w:r>
      <w:r w:rsidRPr="0095272F">
        <w:t xml:space="preserve"> </w:t>
      </w:r>
      <w:r w:rsidRPr="00E21300">
        <w:t>from one outbreak report</w:t>
      </w:r>
      <w:r>
        <w:t>,</w:t>
      </w:r>
      <w:r w:rsidR="00C34233">
        <w:rPr>
          <w:vertAlign w:val="superscript"/>
        </w:rPr>
        <w:t>124</w:t>
      </w:r>
      <w:r w:rsidRPr="00E21300">
        <w:t xml:space="preserve"> which reported the effect of </w:t>
      </w:r>
      <w:r>
        <w:t xml:space="preserve">a </w:t>
      </w:r>
      <w:r w:rsidRPr="00E21300">
        <w:t xml:space="preserve">rapidly mobilised </w:t>
      </w:r>
      <w:r>
        <w:t xml:space="preserve">domestic </w:t>
      </w:r>
      <w:r w:rsidRPr="00E21300">
        <w:t xml:space="preserve">team following </w:t>
      </w:r>
      <w:r>
        <w:t>a</w:t>
      </w:r>
      <w:r w:rsidRPr="00E21300">
        <w:t xml:space="preserve"> vomiting or faecal incident.</w:t>
      </w:r>
      <w:r>
        <w:t xml:space="preserve"> This outbreak, which occurred in a large hotel affected &gt;1000 cases and lasted over 26 weeks. The authors reported that as part of the bundle of interventions, r</w:t>
      </w:r>
      <w:r w:rsidRPr="00E21300">
        <w:t>apid mobilisation of the cleaning staff following any events of contamination</w:t>
      </w:r>
      <w:r>
        <w:t xml:space="preserve"> was introduced. The study did not report the benefit of these strategies and cases continued following the introduction of control measures. One reason for this was that the hotel did not introduce disinfection as there was a concern that this would damage the carpets and soft furnishing.</w:t>
      </w:r>
    </w:p>
    <w:p w14:paraId="277739A7" w14:textId="3C60C892"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mobilising the cleaning team outside healthcare settings. </w:t>
      </w:r>
    </w:p>
    <w:p w14:paraId="1D720951" w14:textId="77777777" w:rsidR="00EC7A69" w:rsidRDefault="00EC7A69" w:rsidP="00CF7116">
      <w:pPr>
        <w:pStyle w:val="Heading3"/>
        <w:spacing w:line="276" w:lineRule="auto"/>
        <w:rPr>
          <w:vertAlign w:val="superscript"/>
        </w:rPr>
      </w:pPr>
      <w:r>
        <w:t>Focused (more thorough and more frequent) cleaning of certain areas</w:t>
      </w:r>
    </w:p>
    <w:p w14:paraId="3ADC3920" w14:textId="371B2B52" w:rsidR="00EC7A69" w:rsidRDefault="00EC7A69" w:rsidP="00CF7116">
      <w:pPr>
        <w:spacing w:before="240" w:line="276" w:lineRule="auto"/>
      </w:pPr>
      <w:r w:rsidRPr="0095272F">
        <w:t xml:space="preserve">There was </w:t>
      </w:r>
      <w:r w:rsidRPr="003E0814">
        <w:t>weak evidence</w:t>
      </w:r>
      <w:r w:rsidRPr="0095272F">
        <w:t xml:space="preserve"> </w:t>
      </w:r>
      <w:r>
        <w:t>from one cross sectional study</w:t>
      </w:r>
      <w:r w:rsidRPr="0044583A">
        <w:rPr>
          <w:vertAlign w:val="superscript"/>
        </w:rPr>
        <w:t>2</w:t>
      </w:r>
      <w:r w:rsidR="00C34233">
        <w:rPr>
          <w:vertAlign w:val="superscript"/>
        </w:rPr>
        <w:t>1</w:t>
      </w:r>
      <w:r>
        <w:t xml:space="preserve"> and ten outbreak </w:t>
      </w:r>
      <w:r w:rsidRPr="005F543C">
        <w:t>studies</w:t>
      </w:r>
      <w:r w:rsidR="00C34233">
        <w:t>,</w:t>
      </w:r>
      <w:r w:rsidR="00C34233">
        <w:rPr>
          <w:vertAlign w:val="superscript"/>
        </w:rPr>
        <w:t>14,19,20,22,28,29,31,58,114,123</w:t>
      </w:r>
      <w:r>
        <w:rPr>
          <w:vertAlign w:val="superscript"/>
        </w:rPr>
        <w:t xml:space="preserve"> </w:t>
      </w:r>
      <w:r>
        <w:t>which used focused cleaning of some areas during outbreaks in healthcare settings. One cross-sectional study</w:t>
      </w:r>
      <w:r w:rsidRPr="00830843">
        <w:rPr>
          <w:vertAlign w:val="superscript"/>
        </w:rPr>
        <w:t>2</w:t>
      </w:r>
      <w:r w:rsidR="00C34233">
        <w:rPr>
          <w:vertAlign w:val="superscript"/>
        </w:rPr>
        <w:t>1</w:t>
      </w:r>
      <w:r>
        <w:t xml:space="preserve"> reported a possible benefit of cleaning the toilets three times a day, with a significant effect observed for the incidence of norovirus in staff (OR 0.55 [95CI 0.37-0.82]) but not in residents (OR 0.71 [95%CI0.50-1.00]). Disinfection of </w:t>
      </w:r>
      <w:r w:rsidRPr="00157C8C">
        <w:t xml:space="preserve">toileting </w:t>
      </w:r>
      <w:r w:rsidR="00157C8C">
        <w:t>equipment</w:t>
      </w:r>
      <w:r>
        <w:t xml:space="preserve"> </w:t>
      </w:r>
      <w:r w:rsidR="00157C8C">
        <w:t>(study referred</w:t>
      </w:r>
      <w:r w:rsidR="000E41A6">
        <w:t xml:space="preserve"> </w:t>
      </w:r>
      <w:r w:rsidR="00157C8C">
        <w:t xml:space="preserve">to “chamber pots”) </w:t>
      </w:r>
      <w:r>
        <w:t xml:space="preserve">and cleaning and disinfection of the bathroom after use was also reported to have a significant effect on staff infections (OR 0.62 [95%CI 0.40-0.96]), but was associated with more infections in residents (OR 1.52 [95%CI 1.03-2.25]). Cleaning and disinfection of bathrooms after use had no effect (OR 0.70 [95%CI 0.49-1.00] on residents, </w:t>
      </w:r>
      <w:r w:rsidR="00C870B1">
        <w:t>not reported</w:t>
      </w:r>
      <w:r>
        <w:t xml:space="preserve"> for staff). The ten outbreak studies involved between three and 173 cases (median 52) and lasted between five and 82 days (median 17). From these ten outbreaks studies, eight found this intervention beneficial when implemented alongside other control measures.</w:t>
      </w:r>
      <w:r w:rsidR="00C34233">
        <w:rPr>
          <w:vertAlign w:val="superscript"/>
        </w:rPr>
        <w:t>14,19,20,22,28,29,114,123</w:t>
      </w:r>
      <w:r>
        <w:t xml:space="preserve"> After the implementation of these interventions, outbreaks affected a further one to 98 cases (median 24) and lasted between three and 18 days (median </w:t>
      </w:r>
      <w:r w:rsidR="001128A6">
        <w:t>ten</w:t>
      </w:r>
      <w:r>
        <w:t xml:space="preserve"> days). One</w:t>
      </w:r>
      <w:r w:rsidR="00C34233">
        <w:rPr>
          <w:vertAlign w:val="superscript"/>
        </w:rPr>
        <w:t>58</w:t>
      </w:r>
      <w:r>
        <w:t xml:space="preserve"> of the two studies which did not report the benefit stated that it was difficult to associate the implemented control measures with the reduced number of cases because they were introduced at the peak, and it was likely that the </w:t>
      </w:r>
      <w:r>
        <w:lastRenderedPageBreak/>
        <w:t>cases would have declined on their own. The second study</w:t>
      </w:r>
      <w:r w:rsidR="00C34233">
        <w:rPr>
          <w:vertAlign w:val="superscript"/>
        </w:rPr>
        <w:t>31</w:t>
      </w:r>
      <w:r>
        <w:t xml:space="preserve"> reported that cases continued until a thorough disinfection of an entire hospital took place. </w:t>
      </w:r>
    </w:p>
    <w:p w14:paraId="2D884C27" w14:textId="0A2695A6"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effectiveness of focused cleaning of certain areas outside the healthcare setting. </w:t>
      </w:r>
    </w:p>
    <w:p w14:paraId="60DE519A" w14:textId="47F6A2B8" w:rsidR="00EC7A69" w:rsidRDefault="00EC7A69" w:rsidP="00CF7116">
      <w:pPr>
        <w:spacing w:before="240" w:line="276" w:lineRule="auto"/>
      </w:pPr>
      <w:r w:rsidRPr="0095272F">
        <w:t>No studies were found in</w:t>
      </w:r>
      <w:r>
        <w:t xml:space="preserve"> the existing </w:t>
      </w:r>
      <w:r w:rsidR="00FE349B">
        <w:t>literature that</w:t>
      </w:r>
      <w:r>
        <w:t xml:space="preserve"> assessed the cost of focused cleaning of certain areas in any settings. </w:t>
      </w:r>
    </w:p>
    <w:p w14:paraId="6EA92132" w14:textId="77777777" w:rsidR="00EC7A69" w:rsidRDefault="00EC7A69" w:rsidP="00CF7116">
      <w:pPr>
        <w:pStyle w:val="Heading3"/>
        <w:spacing w:line="276" w:lineRule="auto"/>
      </w:pPr>
      <w:r>
        <w:t>Inspection followed by re-cleaning of insufficiently cleaned areas</w:t>
      </w:r>
    </w:p>
    <w:p w14:paraId="696B5B5F" w14:textId="23528931" w:rsidR="00EC7A69" w:rsidRDefault="00EC7A69" w:rsidP="00CF7116">
      <w:pPr>
        <w:spacing w:before="240" w:line="276" w:lineRule="auto"/>
      </w:pPr>
      <w:r w:rsidRPr="0095272F">
        <w:t xml:space="preserve">There was </w:t>
      </w:r>
      <w:r w:rsidRPr="00E471FB">
        <w:t>very weak evidence</w:t>
      </w:r>
      <w:r w:rsidRPr="0095272F">
        <w:t xml:space="preserve"> </w:t>
      </w:r>
      <w:r>
        <w:t>from one outbreak study</w:t>
      </w:r>
      <w:r w:rsidR="00C34233">
        <w:rPr>
          <w:vertAlign w:val="superscript"/>
        </w:rPr>
        <w:t>25</w:t>
      </w:r>
      <w:r>
        <w:t xml:space="preserve"> and one environmental survey,</w:t>
      </w:r>
      <w:r w:rsidR="00C34233">
        <w:rPr>
          <w:vertAlign w:val="superscript"/>
        </w:rPr>
        <w:t>170</w:t>
      </w:r>
      <w:r>
        <w:t xml:space="preserve"> which used inspection of the cleaned rooms or surfaces followed by feedback and recleaning of insufficiently cleaned areas. The outbreak study</w:t>
      </w:r>
      <w:r w:rsidR="00C34233">
        <w:rPr>
          <w:vertAlign w:val="superscript"/>
        </w:rPr>
        <w:t>25</w:t>
      </w:r>
      <w:r>
        <w:t xml:space="preserve"> reported that following the recurrence of the cases after re-opening the ward, they introduced an intervention where an ATP measuring device was used for identifying areas which were not sufficiently cleaned, and that re-cleaning was ordered when these were identified. The authors reported that the recurrence was due to re-introduction of norovirus cases into the ward rather than an ongoing outbreak. However, they did report that this strategy prevented a new outbreak from occurring. The environmental survey</w:t>
      </w:r>
      <w:r w:rsidR="00C34233">
        <w:rPr>
          <w:vertAlign w:val="superscript"/>
        </w:rPr>
        <w:t>170</w:t>
      </w:r>
      <w:r>
        <w:t xml:space="preserve"> showed a limited benefit of this strategy </w:t>
      </w:r>
      <w:r w:rsidRPr="00B80935">
        <w:t xml:space="preserve">on wards with </w:t>
      </w:r>
      <w:r>
        <w:t>norovirus-positive</w:t>
      </w:r>
      <w:r w:rsidRPr="00B80935">
        <w:t xml:space="preserve"> patients</w:t>
      </w:r>
      <w:r>
        <w:t xml:space="preserve">. The cleaning routine included disinfection with </w:t>
      </w:r>
      <w:r w:rsidR="00E2003E">
        <w:t>NaCl-</w:t>
      </w:r>
      <w:r>
        <w:t xml:space="preserve"> and an e</w:t>
      </w:r>
      <w:r w:rsidRPr="00B80935">
        <w:t xml:space="preserve">xtensive </w:t>
      </w:r>
      <w:r>
        <w:t xml:space="preserve">list for </w:t>
      </w:r>
      <w:r w:rsidRPr="00B80935">
        <w:t>disinfecti</w:t>
      </w:r>
      <w:r>
        <w:t>ng different types of</w:t>
      </w:r>
      <w:r w:rsidRPr="00B80935">
        <w:t xml:space="preserve"> furniture, </w:t>
      </w:r>
      <w:r>
        <w:t>fittings</w:t>
      </w:r>
      <w:r w:rsidRPr="00B80935">
        <w:t xml:space="preserve"> </w:t>
      </w:r>
      <w:r>
        <w:t>and</w:t>
      </w:r>
      <w:r w:rsidRPr="00B80935">
        <w:t xml:space="preserve"> equipment. When </w:t>
      </w:r>
      <w:r>
        <w:t xml:space="preserve">positive </w:t>
      </w:r>
      <w:r w:rsidRPr="00B80935">
        <w:t xml:space="preserve">samples </w:t>
      </w:r>
      <w:r>
        <w:t xml:space="preserve">were </w:t>
      </w:r>
      <w:r w:rsidRPr="00B80935">
        <w:t xml:space="preserve">found, cleaners </w:t>
      </w:r>
      <w:r>
        <w:t xml:space="preserve">were </w:t>
      </w:r>
      <w:r w:rsidRPr="00B80935">
        <w:t xml:space="preserve">asked to re-clean. </w:t>
      </w:r>
      <w:r>
        <w:t>It was reported that a</w:t>
      </w:r>
      <w:r w:rsidRPr="00B80935">
        <w:t xml:space="preserve">fter the first round of environmental surveillance, cleaning got better but declined after </w:t>
      </w:r>
      <w:r>
        <w:t>three</w:t>
      </w:r>
      <w:r w:rsidRPr="00B80935">
        <w:t xml:space="preserve"> months. </w:t>
      </w:r>
      <w:r>
        <w:t xml:space="preserve">The overall proportion of samples which were contaminated with norovirus was 26% for first cleaning and 19% for re-cleaning. </w:t>
      </w:r>
    </w:p>
    <w:p w14:paraId="569D2E0B" w14:textId="6AA515B2" w:rsidR="00EC7A69" w:rsidRDefault="00EC7A69" w:rsidP="00CF7116">
      <w:pPr>
        <w:spacing w:before="240" w:line="276" w:lineRule="auto"/>
      </w:pPr>
      <w:r w:rsidRPr="0095272F">
        <w:t>No studies were found in</w:t>
      </w:r>
      <w:r>
        <w:t xml:space="preserve"> the existing </w:t>
      </w:r>
      <w:r w:rsidR="00FE349B">
        <w:t>literature that</w:t>
      </w:r>
      <w:r>
        <w:t xml:space="preserve"> assessed the effectiveness of inspection and re-cleaning outside healthcare settings. </w:t>
      </w:r>
    </w:p>
    <w:p w14:paraId="66FC305D" w14:textId="21106869" w:rsidR="00EC7A69" w:rsidRPr="007230BC" w:rsidRDefault="00EC7A69" w:rsidP="00CF7116">
      <w:pPr>
        <w:spacing w:before="240" w:line="276" w:lineRule="auto"/>
      </w:pPr>
      <w:r w:rsidRPr="0095272F">
        <w:t>No studies were found in</w:t>
      </w:r>
      <w:r>
        <w:t xml:space="preserve"> the existing </w:t>
      </w:r>
      <w:r w:rsidR="00FE349B">
        <w:t>literature that</w:t>
      </w:r>
      <w:r>
        <w:t xml:space="preserve"> assessed the cost of inspection and re-cleaning in any settings. </w:t>
      </w:r>
    </w:p>
    <w:p w14:paraId="73D84DDA" w14:textId="3C097247" w:rsidR="00EC7A69" w:rsidRPr="00157C8C" w:rsidRDefault="00EC7A69" w:rsidP="00CF7116">
      <w:pPr>
        <w:spacing w:before="240" w:line="276" w:lineRule="auto"/>
        <w:rPr>
          <w:i/>
          <w:iCs/>
        </w:rPr>
      </w:pPr>
      <w:r w:rsidRPr="00157C8C">
        <w:rPr>
          <w:i/>
          <w:iCs/>
        </w:rPr>
        <w:t xml:space="preserve">The Working Party considered the above evidence and concluded that they cannot recommend for or against this practice as a part of the control measures. However, all members agreed that the elements of enhanced cleaning are often used as IPC measures during outbreaks and despite the lack of evidence they may represent the best care. Additionally, not introducing these measures may have a potential negative impact on how patients and visitors see the outbreak being managed. </w:t>
      </w:r>
    </w:p>
    <w:p w14:paraId="4C2F9DE1" w14:textId="77777777" w:rsidR="00EC7A69" w:rsidRPr="00E471FB" w:rsidRDefault="00EC7A69" w:rsidP="00CF7116">
      <w:pPr>
        <w:spacing w:line="276" w:lineRule="auto"/>
        <w:rPr>
          <w:b/>
          <w:bCs/>
        </w:rPr>
      </w:pPr>
      <w:r w:rsidRPr="00E471FB">
        <w:rPr>
          <w:b/>
          <w:bCs/>
        </w:rPr>
        <w:t>Recommendations:</w:t>
      </w:r>
    </w:p>
    <w:p w14:paraId="59C899FA" w14:textId="3B415222" w:rsidR="00EC7A69" w:rsidRPr="00157C8C" w:rsidRDefault="00E471FB" w:rsidP="00CF7116">
      <w:pPr>
        <w:spacing w:before="240" w:line="276" w:lineRule="auto"/>
      </w:pPr>
      <w:r>
        <w:rPr>
          <w:b/>
          <w:bCs/>
        </w:rPr>
        <w:t>20</w:t>
      </w:r>
      <w:r w:rsidR="00EC7A69" w:rsidRPr="00157C8C">
        <w:rPr>
          <w:b/>
          <w:bCs/>
        </w:rPr>
        <w:t>.1</w:t>
      </w:r>
      <w:r>
        <w:rPr>
          <w:b/>
          <w:bCs/>
        </w:rPr>
        <w:t>:</w:t>
      </w:r>
      <w:r w:rsidR="00EC7A69" w:rsidRPr="00157C8C">
        <w:t xml:space="preserve"> No recommendation</w:t>
      </w:r>
    </w:p>
    <w:p w14:paraId="7FC7F278" w14:textId="77777777" w:rsidR="00EC7A69" w:rsidRPr="00E471FB" w:rsidRDefault="00EC7A69" w:rsidP="00CF7116">
      <w:pPr>
        <w:spacing w:line="276" w:lineRule="auto"/>
        <w:rPr>
          <w:b/>
          <w:bCs/>
        </w:rPr>
      </w:pPr>
      <w:r w:rsidRPr="00E471FB">
        <w:rPr>
          <w:b/>
          <w:bCs/>
        </w:rPr>
        <w:t>Good practice points:</w:t>
      </w:r>
    </w:p>
    <w:p w14:paraId="34ADDFF4" w14:textId="0F2659C8" w:rsidR="00EC7A69" w:rsidRPr="00157C8C" w:rsidRDefault="00EC7A69" w:rsidP="00CF7116">
      <w:pPr>
        <w:spacing w:before="240" w:line="276" w:lineRule="auto"/>
      </w:pPr>
      <w:r w:rsidRPr="00157C8C">
        <w:rPr>
          <w:b/>
          <w:bCs/>
        </w:rPr>
        <w:t xml:space="preserve">GPP </w:t>
      </w:r>
      <w:r w:rsidR="00E471FB">
        <w:rPr>
          <w:b/>
          <w:bCs/>
        </w:rPr>
        <w:t>20</w:t>
      </w:r>
      <w:r w:rsidRPr="00157C8C">
        <w:rPr>
          <w:b/>
          <w:bCs/>
        </w:rPr>
        <w:t xml:space="preserve">.1 </w:t>
      </w:r>
      <w:r w:rsidRPr="00157C8C">
        <w:t xml:space="preserve">Introduce </w:t>
      </w:r>
      <w:r w:rsidR="00157C8C" w:rsidRPr="00157C8C">
        <w:t xml:space="preserve">a </w:t>
      </w:r>
      <w:r w:rsidRPr="00157C8C">
        <w:t xml:space="preserve">higher frequency of manual </w:t>
      </w:r>
      <w:r w:rsidR="00157C8C" w:rsidRPr="00157C8C">
        <w:t xml:space="preserve">cleaning </w:t>
      </w:r>
      <w:r w:rsidRPr="00157C8C">
        <w:t>during outbreaks with particular emphasis on high-touch areas and toilets/commodes</w:t>
      </w:r>
      <w:r w:rsidR="006C356B">
        <w:t>.</w:t>
      </w:r>
    </w:p>
    <w:p w14:paraId="0D755EF2" w14:textId="06D0CE7A" w:rsidR="00EC7A69" w:rsidRDefault="00EC7A69" w:rsidP="00CF7116">
      <w:pPr>
        <w:spacing w:before="240" w:line="276" w:lineRule="auto"/>
      </w:pPr>
      <w:r w:rsidRPr="00157C8C">
        <w:rPr>
          <w:b/>
          <w:bCs/>
        </w:rPr>
        <w:t xml:space="preserve">GPP </w:t>
      </w:r>
      <w:r w:rsidR="00E471FB">
        <w:rPr>
          <w:b/>
          <w:bCs/>
        </w:rPr>
        <w:t>20</w:t>
      </w:r>
      <w:r w:rsidRPr="00157C8C">
        <w:rPr>
          <w:b/>
          <w:bCs/>
        </w:rPr>
        <w:t>.2</w:t>
      </w:r>
      <w:r w:rsidRPr="00157C8C">
        <w:t xml:space="preserve"> Immediately clean </w:t>
      </w:r>
      <w:r w:rsidR="00157C8C" w:rsidRPr="00157C8C">
        <w:t xml:space="preserve">up gross </w:t>
      </w:r>
      <w:r w:rsidRPr="00157C8C">
        <w:t>contamination following any uncontained incidents.</w:t>
      </w:r>
      <w:r>
        <w:t xml:space="preserve"> </w:t>
      </w:r>
    </w:p>
    <w:p w14:paraId="412B3C0E" w14:textId="77777777" w:rsidR="00EC7A69" w:rsidRPr="00EC7A69" w:rsidRDefault="00EC7A69" w:rsidP="00CF7116">
      <w:pPr>
        <w:spacing w:before="240" w:line="276" w:lineRule="auto"/>
        <w:rPr>
          <w:rFonts w:eastAsia="Times New Roman"/>
        </w:rPr>
      </w:pPr>
    </w:p>
    <w:p w14:paraId="5CD6B3FF" w14:textId="07966A99" w:rsidR="00E758C0" w:rsidRDefault="00E758C0" w:rsidP="00CF7116">
      <w:pPr>
        <w:pStyle w:val="Heading2"/>
        <w:spacing w:before="240" w:after="160" w:line="276" w:lineRule="auto"/>
      </w:pPr>
      <w:r>
        <w:t>8.21</w:t>
      </w:r>
      <w:r w:rsidRPr="00E758C0">
        <w:tab/>
        <w:t>How should food and drinks be stored and handled in areas affected by norovirus?</w:t>
      </w:r>
    </w:p>
    <w:p w14:paraId="2144307E" w14:textId="31A14761" w:rsidR="00E758C0" w:rsidRDefault="00E758C0" w:rsidP="00CF7116">
      <w:pPr>
        <w:spacing w:before="240" w:line="276" w:lineRule="auto"/>
      </w:pPr>
      <w:r w:rsidRPr="002B15C2">
        <w:t>Previous UK</w:t>
      </w:r>
      <w:r w:rsidR="00AC0F9C" w:rsidRPr="002B15C2">
        <w:rPr>
          <w:vertAlign w:val="superscript"/>
        </w:rPr>
        <w:t>1</w:t>
      </w:r>
      <w:r w:rsidRPr="002B15C2">
        <w:t xml:space="preserve"> and USA guid</w:t>
      </w:r>
      <w:r w:rsidR="002250AE">
        <w:t>elines</w:t>
      </w:r>
      <w:r w:rsidR="002250AE" w:rsidRPr="002250AE">
        <w:rPr>
          <w:vertAlign w:val="superscript"/>
        </w:rPr>
        <w:t>264</w:t>
      </w:r>
      <w:r w:rsidRPr="002B15C2">
        <w:t xml:space="preserve"> acknowledge that food and food preparation areas can serve as a common source of contamination with norovirus. UK Food Standards Agency (FSA) also advises that</w:t>
      </w:r>
      <w:r>
        <w:t xml:space="preserve"> foods that are handled and are not subjected to further cooking are commonly implicated in foodborne norovirus infections. Sauces, sandwiches, fruits</w:t>
      </w:r>
      <w:r w:rsidR="0055462D">
        <w:t>,</w:t>
      </w:r>
      <w:r>
        <w:t xml:space="preserve"> vegetables</w:t>
      </w:r>
      <w:r w:rsidR="0055462D">
        <w:t xml:space="preserve"> and</w:t>
      </w:r>
      <w:r>
        <w:t xml:space="preserve"> salads, were most often cited as extrinsically contaminated sources of outbreaks of norovirus gastroenteritis. Importantly, these sources reflected the breadth of foods that can become contaminated.</w:t>
      </w:r>
      <w:r w:rsidR="0055462D">
        <w:t xml:space="preserve"> </w:t>
      </w:r>
      <w:r>
        <w:t>The UK and USA guidelines have recommended the removal of all shared or communal food items for patients and staff from the clinical areas for the duration of the outbreak and prohibit eating and drinking by staff within clinical areas. The importance of hand hygiene prior to the handling of food or drink is also a key component in the prevention of food contamination within the guidance.</w:t>
      </w:r>
      <w:r w:rsidR="0055462D">
        <w:t xml:space="preserve"> However, these recommendations were not based on reviewed published evidence and it is still not known whether this practice helps to minimise transmission and whether the potential benefit overweighs the risks, for example in situations where </w:t>
      </w:r>
      <w:r w:rsidR="00364DC7">
        <w:t>individuals</w:t>
      </w:r>
      <w:r w:rsidR="0055462D">
        <w:t xml:space="preserve"> are severely undernourished. </w:t>
      </w:r>
    </w:p>
    <w:p w14:paraId="0786AB53" w14:textId="713415D4" w:rsidR="00FF635C" w:rsidRDefault="00FF635C" w:rsidP="00CF7116">
      <w:pPr>
        <w:spacing w:before="240" w:line="276" w:lineRule="auto"/>
      </w:pPr>
      <w:r w:rsidRPr="0095272F">
        <w:t xml:space="preserve">There was </w:t>
      </w:r>
      <w:r w:rsidRPr="00B15BBD">
        <w:t>weak evidence</w:t>
      </w:r>
      <w:r>
        <w:t xml:space="preserve"> of benefit from one cross-sectional study,</w:t>
      </w:r>
      <w:r w:rsidR="002B15C2">
        <w:rPr>
          <w:vertAlign w:val="superscript"/>
        </w:rPr>
        <w:t>21</w:t>
      </w:r>
      <w:r>
        <w:t xml:space="preserve"> and two outbreak studies,</w:t>
      </w:r>
      <w:r w:rsidR="002B15C2">
        <w:rPr>
          <w:vertAlign w:val="superscript"/>
        </w:rPr>
        <w:t>108,115</w:t>
      </w:r>
      <w:r w:rsidRPr="009A2010">
        <w:t xml:space="preserve"> </w:t>
      </w:r>
      <w:r>
        <w:t>which reported the removal of food during outbreaks in healthcare setting. The cross-sectional study</w:t>
      </w:r>
      <w:r w:rsidR="002B15C2">
        <w:rPr>
          <w:vertAlign w:val="superscript"/>
        </w:rPr>
        <w:t>21</w:t>
      </w:r>
      <w:r>
        <w:t xml:space="preserve"> reported that nursing homes which removed any exposed food during the norovirus outbreak had a lower risk of norovirus infection for the residents (OR 0.62 [95% CI 0.44-0.88]) as well as the staff</w:t>
      </w:r>
      <w:r w:rsidRPr="00593AEE">
        <w:t xml:space="preserve"> </w:t>
      </w:r>
      <w:r>
        <w:t>(OR 0.31 [95%CI 0.19-0.50]). Of the two studies which reported a total of outbreaks in healthcare facilities,</w:t>
      </w:r>
      <w:r w:rsidR="002B15C2">
        <w:rPr>
          <w:vertAlign w:val="superscript"/>
        </w:rPr>
        <w:t>108,115</w:t>
      </w:r>
      <w:r>
        <w:t xml:space="preserve"> both reported that removal of the food, together with other interventions, was successful in containing the outbreaks. These outbreaks were reported to affect between 14 and 195 cases (median 26) and lasted between three to twelve days (median seven days). The outbreak which was reported to affect 195 cases</w:t>
      </w:r>
      <w:r w:rsidR="002B15C2">
        <w:rPr>
          <w:vertAlign w:val="superscript"/>
        </w:rPr>
        <w:t>115</w:t>
      </w:r>
      <w:r>
        <w:t xml:space="preserve"> was likely due to an infected food handler, and it was reported that most cases were infected from the common source (not identified), secondary person-to-person transmission also occurred. Neither of the two studies reported the number of cases or the duration of the outbreaks after the interventions were implemented. </w:t>
      </w:r>
    </w:p>
    <w:p w14:paraId="54673FDB" w14:textId="3AEC85A3" w:rsidR="00FF635C" w:rsidRDefault="00FF635C" w:rsidP="00CF7116">
      <w:pPr>
        <w:spacing w:before="240" w:line="276" w:lineRule="auto"/>
      </w:pPr>
      <w:r w:rsidRPr="0095272F">
        <w:t xml:space="preserve">There was </w:t>
      </w:r>
      <w:r w:rsidRPr="00B15BBD">
        <w:t>weak evidence</w:t>
      </w:r>
      <w:r>
        <w:t xml:space="preserve"> from two outbreak studies,</w:t>
      </w:r>
      <w:r w:rsidR="002B15C2">
        <w:rPr>
          <w:vertAlign w:val="superscript"/>
        </w:rPr>
        <w:t>124,223</w:t>
      </w:r>
      <w:r w:rsidRPr="009A2010">
        <w:t xml:space="preserve"> </w:t>
      </w:r>
      <w:r>
        <w:t>which reported the removal of food during outbreaks in non-healthcare settings. One of these studies,</w:t>
      </w:r>
      <w:r w:rsidR="002B15C2">
        <w:rPr>
          <w:vertAlign w:val="superscript"/>
        </w:rPr>
        <w:t>223</w:t>
      </w:r>
      <w:r>
        <w:t xml:space="preserve"> which described an outbreak due to infected food handlers in the restaurant, reported that removal of all prepared food, together with thorough cleaning of the premises and exclusion of symptomatic staff, was not successful in outbreak termination and that three further cases occurred until thorough disinfection was performed. The authors did not report data on the duration of the outbreak, or the number of cases involved. The other study,</w:t>
      </w:r>
      <w:r w:rsidR="002B15C2">
        <w:rPr>
          <w:vertAlign w:val="superscript"/>
        </w:rPr>
        <w:t>124</w:t>
      </w:r>
      <w:r>
        <w:t xml:space="preserve"> which described a large outbreak in a hotel affecting over 1000 cases and lasting over 26 weeks, also reported that removing all prepared food together with other control measures was not sufficient in controlling the course of an outbreak. </w:t>
      </w:r>
    </w:p>
    <w:p w14:paraId="180990F3" w14:textId="5C5F6999"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effect of removing food on any unintended consequences (e.g. nutritional or hydration status) in any setting</w:t>
      </w:r>
      <w:r w:rsidRPr="002404F9">
        <w:rPr>
          <w:rFonts w:cstheme="minorHAnsi"/>
        </w:rPr>
        <w:t>.</w:t>
      </w:r>
      <w:r>
        <w:rPr>
          <w:rFonts w:cstheme="minorHAnsi"/>
        </w:rPr>
        <w:t xml:space="preserve"> </w:t>
      </w:r>
    </w:p>
    <w:p w14:paraId="420A6C54" w14:textId="714963F1" w:rsidR="00FF635C" w:rsidRDefault="00FF635C" w:rsidP="00CF7116">
      <w:pPr>
        <w:spacing w:before="240" w:line="276" w:lineRule="auto"/>
      </w:pPr>
      <w:r w:rsidRPr="0095272F">
        <w:lastRenderedPageBreak/>
        <w:t xml:space="preserve">There was </w:t>
      </w:r>
      <w:r w:rsidRPr="00B15BBD">
        <w:t>weak evidence</w:t>
      </w:r>
      <w:r>
        <w:t xml:space="preserve"> from two outbreak studies,</w:t>
      </w:r>
      <w:r w:rsidR="002B15C2">
        <w:rPr>
          <w:vertAlign w:val="superscript"/>
        </w:rPr>
        <w:t>26,55</w:t>
      </w:r>
      <w:r w:rsidRPr="009A2010">
        <w:t xml:space="preserve"> </w:t>
      </w:r>
      <w:r>
        <w:t>which reported not allowing any shared foods during an outbreak in the healthcare settings. These studies were reported to affect 25</w:t>
      </w:r>
      <w:r w:rsidR="002B15C2">
        <w:rPr>
          <w:vertAlign w:val="superscript"/>
        </w:rPr>
        <w:t>55</w:t>
      </w:r>
      <w:r>
        <w:t xml:space="preserve"> and 355</w:t>
      </w:r>
      <w:r w:rsidR="002B15C2">
        <w:rPr>
          <w:vertAlign w:val="superscript"/>
        </w:rPr>
        <w:t>26</w:t>
      </w:r>
      <w:r>
        <w:t xml:space="preserve"> cases and lasted for eleven days</w:t>
      </w:r>
      <w:r w:rsidR="002B15C2">
        <w:rPr>
          <w:vertAlign w:val="superscript"/>
        </w:rPr>
        <w:t>55</w:t>
      </w:r>
      <w:r>
        <w:t xml:space="preserve"> and for over two months.</w:t>
      </w:r>
      <w:r w:rsidR="002B15C2">
        <w:rPr>
          <w:vertAlign w:val="superscript"/>
        </w:rPr>
        <w:t>26</w:t>
      </w:r>
      <w:r>
        <w:t xml:space="preserve"> The study which described </w:t>
      </w:r>
      <w:r w:rsidR="00623363">
        <w:t>the</w:t>
      </w:r>
      <w:r>
        <w:t xml:space="preserve"> smaller outbreak</w:t>
      </w:r>
      <w:r w:rsidR="002B15C2">
        <w:rPr>
          <w:vertAlign w:val="superscript"/>
        </w:rPr>
        <w:t>55</w:t>
      </w:r>
      <w:r>
        <w:t xml:space="preserve"> reported that removing communal foods and providing single-serve foods and individually-wrapped cutlery w</w:t>
      </w:r>
      <w:r w:rsidR="00623363">
        <w:t>ere</w:t>
      </w:r>
      <w:r>
        <w:t xml:space="preserve"> measures implemented </w:t>
      </w:r>
      <w:r w:rsidR="00623363">
        <w:t>that</w:t>
      </w:r>
      <w:r>
        <w:t xml:space="preserve"> positively affected the course of </w:t>
      </w:r>
      <w:r w:rsidR="00623363">
        <w:t>the</w:t>
      </w:r>
      <w:r>
        <w:t xml:space="preserve"> outbreak. Following the introduction of these control measures, a further nine cases occurred, and the outbreak ended within five days. In the larger outbreak,</w:t>
      </w:r>
      <w:r w:rsidR="002B15C2">
        <w:rPr>
          <w:vertAlign w:val="superscript"/>
        </w:rPr>
        <w:t>26</w:t>
      </w:r>
      <w:r>
        <w:t xml:space="preserve"> which was not recognised until week six, this intervention together with other measures was not sufficient. The authors reported that cases continued until one unit was thoroughly disinfected and when further restrictions were applied in other units. </w:t>
      </w:r>
    </w:p>
    <w:p w14:paraId="24EAB93F" w14:textId="798214AB" w:rsidR="00FF635C" w:rsidRDefault="00FF635C" w:rsidP="00CF7116">
      <w:pPr>
        <w:spacing w:before="240" w:line="276" w:lineRule="auto"/>
      </w:pPr>
      <w:r w:rsidRPr="0095272F">
        <w:t xml:space="preserve">There was </w:t>
      </w:r>
      <w:r w:rsidRPr="00B15BBD">
        <w:t>weak evidence</w:t>
      </w:r>
      <w:r>
        <w:t xml:space="preserve"> from five outbreak studies,</w:t>
      </w:r>
      <w:r w:rsidR="002B15C2">
        <w:rPr>
          <w:vertAlign w:val="superscript"/>
        </w:rPr>
        <w:t xml:space="preserve"> 34,44,45,59,117</w:t>
      </w:r>
      <w:r w:rsidR="002B15C2" w:rsidRPr="002B15C2">
        <w:t xml:space="preserve"> </w:t>
      </w:r>
      <w:r>
        <w:t>which reported not allowing any shared foods or removing self-service areas during outbreaks outside healthcare settings. These outbreaks affected between 98 and over 800 cases (median 156) and lasted for five to 17 days (median 13.5, based on four studies</w:t>
      </w:r>
      <w:r w:rsidR="002B15C2" w:rsidRPr="002B15C2">
        <w:rPr>
          <w:vertAlign w:val="superscript"/>
        </w:rPr>
        <w:t>34,</w:t>
      </w:r>
      <w:r w:rsidR="002B15C2">
        <w:rPr>
          <w:vertAlign w:val="superscript"/>
        </w:rPr>
        <w:t>44,45,117</w:t>
      </w:r>
      <w:r>
        <w:t>). Of these five studies, two</w:t>
      </w:r>
      <w:r w:rsidR="002B15C2">
        <w:rPr>
          <w:vertAlign w:val="superscript"/>
        </w:rPr>
        <w:t>44,59</w:t>
      </w:r>
      <w:r>
        <w:t xml:space="preserve"> reported that not allowing any shared foods or removing self-service areas, together with other interventions, positively affected the course of the outbreak. In one of these outbreaks,</w:t>
      </w:r>
      <w:r w:rsidR="002B15C2">
        <w:rPr>
          <w:vertAlign w:val="superscript"/>
        </w:rPr>
        <w:t>59</w:t>
      </w:r>
      <w:r>
        <w:t xml:space="preserve"> initial interventions such as excluding ill employees and educating them on the importance of hand and personal hygiene made no difference to the outbreak outcome. The outbreak ended only after cold food which required hand preparation was removed from the menus, along with not allowing any shared foods such as crisps (chips) and popcorn, and closing for another thorough clean. The second outbreak was controlled quickly after initial control measures, including allowing hot food only and removing a self-serve buffet were introduced. From the studies which reported no effect, two reported that cases continued for as long as the guests were present,</w:t>
      </w:r>
      <w:r w:rsidR="002B15C2">
        <w:rPr>
          <w:vertAlign w:val="superscript"/>
        </w:rPr>
        <w:t>45,117</w:t>
      </w:r>
      <w:r>
        <w:t xml:space="preserve"> and in all three outbreaks the facilities needed to be thoroughly disinfected to remove environmental contamination.</w:t>
      </w:r>
      <w:r w:rsidR="002B15C2">
        <w:rPr>
          <w:vertAlign w:val="superscript"/>
        </w:rPr>
        <w:t>34</w:t>
      </w:r>
      <w:r>
        <w:t xml:space="preserve"> Following the introduction of the interventions, the outbreaks affected between three and 137 cases (median 68) and lasted for a further one to twelve days (median </w:t>
      </w:r>
      <w:r w:rsidR="001128A6">
        <w:t>seven</w:t>
      </w:r>
      <w:r>
        <w:t xml:space="preserve"> days).</w:t>
      </w:r>
      <w:r w:rsidR="002B15C2">
        <w:rPr>
          <w:vertAlign w:val="superscript"/>
        </w:rPr>
        <w:t>34,44,45</w:t>
      </w:r>
    </w:p>
    <w:p w14:paraId="5BD15A7C" w14:textId="179E5FAE"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effect of not allowing any shared foods or removing self-service areas on any unintended consequences (e.g. nutritional or hydration status) in any setting</w:t>
      </w:r>
      <w:r w:rsidRPr="002404F9">
        <w:rPr>
          <w:rFonts w:cstheme="minorHAnsi"/>
        </w:rPr>
        <w:t>.</w:t>
      </w:r>
      <w:r>
        <w:rPr>
          <w:rFonts w:cstheme="minorHAnsi"/>
        </w:rPr>
        <w:t xml:space="preserve"> </w:t>
      </w:r>
    </w:p>
    <w:p w14:paraId="09893485" w14:textId="13733E5B" w:rsidR="00FF635C" w:rsidRDefault="00FF635C" w:rsidP="00CF7116">
      <w:pPr>
        <w:spacing w:before="240" w:line="276" w:lineRule="auto"/>
      </w:pPr>
      <w:r w:rsidRPr="0095272F">
        <w:t xml:space="preserve">There was </w:t>
      </w:r>
      <w:r w:rsidRPr="00B15BBD">
        <w:t>weak evidence</w:t>
      </w:r>
      <w:r>
        <w:t xml:space="preserve"> from two outbreak studies,</w:t>
      </w:r>
      <w:r w:rsidR="002B15C2">
        <w:rPr>
          <w:vertAlign w:val="superscript"/>
        </w:rPr>
        <w:t>32,48</w:t>
      </w:r>
      <w:r w:rsidRPr="009A2010">
        <w:t xml:space="preserve"> </w:t>
      </w:r>
      <w:r>
        <w:t>which reported allowing eating and drinking in only designated areas during outbreaks in the healthcare settings. These outbreaks affected between 22</w:t>
      </w:r>
      <w:r w:rsidR="002B15C2">
        <w:rPr>
          <w:vertAlign w:val="superscript"/>
        </w:rPr>
        <w:t>32</w:t>
      </w:r>
      <w:r>
        <w:t xml:space="preserve"> and 59 cases (eight asymptomatic)</w:t>
      </w:r>
      <w:r w:rsidR="002B15C2">
        <w:rPr>
          <w:vertAlign w:val="superscript"/>
        </w:rPr>
        <w:t>48</w:t>
      </w:r>
      <w:r>
        <w:t xml:space="preserve"> and lasted for five</w:t>
      </w:r>
      <w:r w:rsidR="002B15C2">
        <w:rPr>
          <w:vertAlign w:val="superscript"/>
        </w:rPr>
        <w:t>32</w:t>
      </w:r>
      <w:r>
        <w:t xml:space="preserve"> and for nine days.</w:t>
      </w:r>
      <w:r w:rsidR="002B15C2">
        <w:rPr>
          <w:vertAlign w:val="superscript"/>
        </w:rPr>
        <w:t>48</w:t>
      </w:r>
      <w:r>
        <w:t xml:space="preserve"> Both studies reported that introducing this intervention, together with other control measures, contributed to the outbreak termination. In one of these studies,</w:t>
      </w:r>
      <w:r w:rsidR="002B15C2">
        <w:rPr>
          <w:vertAlign w:val="superscript"/>
        </w:rPr>
        <w:t>32</w:t>
      </w:r>
      <w:r>
        <w:t xml:space="preserve"> staff were not allowed to eat and drink on the unit and together with excluding symptomatic staff, disinfection and contact precautions in place, it was reported that the outbreak ended after three days, during which time there were five more cases. The second study</w:t>
      </w:r>
      <w:r w:rsidR="002B15C2">
        <w:rPr>
          <w:vertAlign w:val="superscript"/>
        </w:rPr>
        <w:t>48</w:t>
      </w:r>
      <w:r>
        <w:t xml:space="preserve"> introduced serving of meals in the residents’ rooms, together with other interventions, and the authors reported that the outbreak resolved within seven days, during which time a further 37 cases were affected. </w:t>
      </w:r>
    </w:p>
    <w:p w14:paraId="6FB09440" w14:textId="243B021A" w:rsidR="00FF635C" w:rsidRPr="0055462D" w:rsidRDefault="00FF635C" w:rsidP="00CF7116">
      <w:pPr>
        <w:spacing w:before="240" w:line="276" w:lineRule="auto"/>
        <w:rPr>
          <w:rFonts w:cstheme="minorHAnsi"/>
          <w:i/>
          <w:iCs/>
        </w:rPr>
      </w:pPr>
      <w:r w:rsidRPr="0055462D">
        <w:rPr>
          <w:i/>
          <w:iCs/>
        </w:rPr>
        <w:t>The Working Party discussed the evidence and concluded that it is currently not possible to determine whether the benefit of removing food o</w:t>
      </w:r>
      <w:r w:rsidR="00364DC7">
        <w:rPr>
          <w:i/>
          <w:iCs/>
        </w:rPr>
        <w:t>ut</w:t>
      </w:r>
      <w:r w:rsidRPr="0055462D">
        <w:rPr>
          <w:i/>
          <w:iCs/>
        </w:rPr>
        <w:t xml:space="preserve">weighs the potential risk of negatively affecting the hydration and nutritional status of more vulnerable </w:t>
      </w:r>
      <w:r w:rsidR="00364DC7">
        <w:rPr>
          <w:i/>
          <w:iCs/>
        </w:rPr>
        <w:t>individuals</w:t>
      </w:r>
      <w:r w:rsidRPr="0055462D">
        <w:rPr>
          <w:i/>
          <w:iCs/>
        </w:rPr>
        <w:t xml:space="preserve">. Subsequently the Working Party </w:t>
      </w:r>
      <w:r w:rsidRPr="0055462D">
        <w:rPr>
          <w:i/>
          <w:iCs/>
        </w:rPr>
        <w:lastRenderedPageBreak/>
        <w:t xml:space="preserve">decided to make no recommendation </w:t>
      </w:r>
      <w:r w:rsidR="00556D11">
        <w:rPr>
          <w:i/>
          <w:iCs/>
        </w:rPr>
        <w:t>o</w:t>
      </w:r>
      <w:r w:rsidRPr="0055462D">
        <w:rPr>
          <w:i/>
          <w:iCs/>
        </w:rPr>
        <w:t xml:space="preserve">n this matter. However, the Working Party recognised that pragmatic actions, which are not based on evidence, can be taken to balance the risk of norovirus transmission with less severe consequences on nutrition and hydration status. Depending on </w:t>
      </w:r>
      <w:r w:rsidR="00F76640">
        <w:rPr>
          <w:i/>
          <w:iCs/>
        </w:rPr>
        <w:t>the</w:t>
      </w:r>
      <w:r w:rsidRPr="0055462D">
        <w:rPr>
          <w:i/>
          <w:iCs/>
        </w:rPr>
        <w:t xml:space="preserve"> setting and the type of </w:t>
      </w:r>
      <w:r w:rsidR="00364DC7">
        <w:rPr>
          <w:i/>
          <w:iCs/>
        </w:rPr>
        <w:t>individuals</w:t>
      </w:r>
      <w:r w:rsidRPr="0055462D">
        <w:rPr>
          <w:i/>
          <w:iCs/>
        </w:rPr>
        <w:t xml:space="preserve">, these may include covering the </w:t>
      </w:r>
      <w:r w:rsidR="00F76640">
        <w:rPr>
          <w:i/>
          <w:iCs/>
        </w:rPr>
        <w:t xml:space="preserve">exposed </w:t>
      </w:r>
      <w:r w:rsidRPr="0055462D">
        <w:rPr>
          <w:i/>
          <w:iCs/>
        </w:rPr>
        <w:t xml:space="preserve">food or providing it individually wrapped and removing food and drinks which are known to have been contaminated. </w:t>
      </w:r>
    </w:p>
    <w:p w14:paraId="64345575" w14:textId="77777777" w:rsidR="00FF635C" w:rsidRPr="00E471FB" w:rsidRDefault="00FF635C" w:rsidP="00CF7116">
      <w:pPr>
        <w:spacing w:line="276" w:lineRule="auto"/>
        <w:rPr>
          <w:b/>
          <w:bCs/>
        </w:rPr>
      </w:pPr>
      <w:r w:rsidRPr="00E471FB">
        <w:rPr>
          <w:b/>
          <w:bCs/>
        </w:rPr>
        <w:t>Recommendations:</w:t>
      </w:r>
    </w:p>
    <w:p w14:paraId="46BF4D3C" w14:textId="77777777" w:rsidR="00FF635C" w:rsidRPr="0055462D" w:rsidRDefault="00FF635C" w:rsidP="00CF7116">
      <w:pPr>
        <w:spacing w:before="240" w:line="276" w:lineRule="auto"/>
      </w:pPr>
      <w:r w:rsidRPr="0055462D">
        <w:rPr>
          <w:b/>
          <w:bCs/>
        </w:rPr>
        <w:t xml:space="preserve">21.1 </w:t>
      </w:r>
      <w:r w:rsidRPr="0055462D">
        <w:t>No recommendation</w:t>
      </w:r>
    </w:p>
    <w:p w14:paraId="3402C792" w14:textId="77777777" w:rsidR="00FF635C" w:rsidRPr="00E471FB" w:rsidRDefault="00FF635C" w:rsidP="00CF7116">
      <w:pPr>
        <w:spacing w:line="276" w:lineRule="auto"/>
        <w:rPr>
          <w:b/>
          <w:bCs/>
        </w:rPr>
      </w:pPr>
      <w:r w:rsidRPr="00E471FB">
        <w:rPr>
          <w:b/>
          <w:bCs/>
        </w:rPr>
        <w:t>Good practice points:</w:t>
      </w:r>
    </w:p>
    <w:p w14:paraId="69AEFE88" w14:textId="5ABB385F" w:rsidR="00FF635C" w:rsidRPr="0055462D" w:rsidRDefault="00FF635C" w:rsidP="00CF7116">
      <w:pPr>
        <w:spacing w:before="240" w:line="276" w:lineRule="auto"/>
      </w:pPr>
      <w:r w:rsidRPr="0055462D">
        <w:rPr>
          <w:b/>
          <w:bCs/>
        </w:rPr>
        <w:t>GPP 21.1</w:t>
      </w:r>
      <w:r w:rsidRPr="0055462D">
        <w:t xml:space="preserve"> To reduce potential transmission, offer food which is covered, individually wrapped, or placed in closed drawers/cupboards. </w:t>
      </w:r>
    </w:p>
    <w:p w14:paraId="7967A715" w14:textId="658D7411" w:rsidR="00FF635C" w:rsidRPr="0055462D" w:rsidRDefault="00FF635C" w:rsidP="00CF7116">
      <w:pPr>
        <w:spacing w:before="240" w:line="276" w:lineRule="auto"/>
      </w:pPr>
      <w:r w:rsidRPr="0055462D">
        <w:rPr>
          <w:b/>
          <w:bCs/>
        </w:rPr>
        <w:t>GPP 21.2</w:t>
      </w:r>
      <w:r w:rsidRPr="0055462D">
        <w:t xml:space="preserve"> Remove all exposed and communal food and utensils.</w:t>
      </w:r>
      <w:r w:rsidR="000E41A6">
        <w:t xml:space="preserve"> </w:t>
      </w:r>
    </w:p>
    <w:p w14:paraId="1881BE40" w14:textId="77777777" w:rsidR="00FF635C" w:rsidRPr="0055462D" w:rsidRDefault="00FF635C" w:rsidP="00CF7116">
      <w:pPr>
        <w:spacing w:before="240" w:line="276" w:lineRule="auto"/>
      </w:pPr>
      <w:r w:rsidRPr="0055462D">
        <w:rPr>
          <w:b/>
          <w:bCs/>
        </w:rPr>
        <w:t>GPP 21.3</w:t>
      </w:r>
      <w:r w:rsidRPr="0055462D">
        <w:t xml:space="preserve"> Replace drinks and drinking cups/glasses which have been exposed to contamination (i.e. uncontained vomiting and diarrhoea). </w:t>
      </w:r>
    </w:p>
    <w:p w14:paraId="446C6D33" w14:textId="77777777" w:rsidR="00FF635C" w:rsidRDefault="00FF635C" w:rsidP="00CF7116">
      <w:pPr>
        <w:spacing w:before="240" w:line="276" w:lineRule="auto"/>
      </w:pPr>
      <w:r w:rsidRPr="0055462D">
        <w:rPr>
          <w:b/>
          <w:bCs/>
        </w:rPr>
        <w:t>GPP 21.4</w:t>
      </w:r>
      <w:r w:rsidRPr="0055462D">
        <w:t xml:space="preserve"> Ensure that appropriate support is offered to maintain nutrition and hydration status.</w:t>
      </w:r>
      <w:r>
        <w:t xml:space="preserve"> </w:t>
      </w:r>
    </w:p>
    <w:p w14:paraId="5C536CED" w14:textId="77777777" w:rsidR="00FF635C" w:rsidRDefault="00FF635C" w:rsidP="00CF7116">
      <w:pPr>
        <w:spacing w:before="240" w:line="276" w:lineRule="auto"/>
      </w:pPr>
    </w:p>
    <w:p w14:paraId="58615D26" w14:textId="6624AC14" w:rsidR="00E758C0" w:rsidRDefault="00E758C0" w:rsidP="00CF7116">
      <w:pPr>
        <w:pStyle w:val="Heading2"/>
        <w:spacing w:before="240" w:after="160" w:line="276" w:lineRule="auto"/>
      </w:pPr>
      <w:r>
        <w:t>8.22</w:t>
      </w:r>
      <w:r w:rsidRPr="00E758C0">
        <w:tab/>
        <w:t>How should communal items/equipment be handled in areas affected by norovirus?</w:t>
      </w:r>
    </w:p>
    <w:p w14:paraId="113A1B29" w14:textId="4C15984B" w:rsidR="001E43A7" w:rsidRDefault="001E43A7" w:rsidP="00CF7116">
      <w:pPr>
        <w:spacing w:before="240" w:line="276" w:lineRule="auto"/>
      </w:pPr>
      <w:r>
        <w:t>Care equipment which can be further described as re-usable non-invasive equipment, can be easily contaminated with bodily fluids and infectious agents such as norovirus. These infectious agents can then be transferred during care delivery. When equipment is not cleaned between patient use, transmission of norovirus can occur. Therefore, to reduce the risk to patients and staff it is important to ensure that cleaning and decontamination processes for communal items and equipment are adhered to and completed according to local protocols and national guidance.</w:t>
      </w:r>
      <w:r w:rsidR="002250AE">
        <w:rPr>
          <w:vertAlign w:val="superscript"/>
        </w:rPr>
        <w:t>263</w:t>
      </w:r>
      <w:r w:rsidRPr="001E43A7">
        <w:rPr>
          <w:vertAlign w:val="superscript"/>
        </w:rPr>
        <w:t>,2</w:t>
      </w:r>
      <w:r w:rsidR="002250AE">
        <w:rPr>
          <w:vertAlign w:val="superscript"/>
        </w:rPr>
        <w:t>65</w:t>
      </w:r>
      <w:r>
        <w:t xml:space="preserve"> Examples of equipment that may be shared between patients include commodes, hoists, pulse oximeters, drip stands and blood pressure monitors. Other communal items such as mobile computers can also be contaminated and require frequent cleaning during norovirus outbreaks. Cleaning and decontamination of communal items by the use of physical and/or chemical means aim</w:t>
      </w:r>
      <w:r w:rsidR="00242A0F">
        <w:t>s</w:t>
      </w:r>
      <w:r>
        <w:t xml:space="preserve"> to remove, inactivate or destroy the pathogens so that the items are rendered safe for use for the next patient. This must be done in accordance with manufacturers</w:t>
      </w:r>
      <w:r w:rsidR="00242A0F">
        <w:t>’</w:t>
      </w:r>
      <w:r>
        <w:t xml:space="preserve"> instructions and have evidence of efficacy in activity against norovirus. Previous UK</w:t>
      </w:r>
      <w:r w:rsidR="00AC0F9C" w:rsidRPr="00AC0F9C">
        <w:rPr>
          <w:vertAlign w:val="superscript"/>
        </w:rPr>
        <w:t>1</w:t>
      </w:r>
      <w:r>
        <w:t xml:space="preserve"> and CDC guidelines</w:t>
      </w:r>
      <w:r w:rsidR="002250AE" w:rsidRPr="002250AE">
        <w:rPr>
          <w:vertAlign w:val="superscript"/>
        </w:rPr>
        <w:t>264</w:t>
      </w:r>
      <w:r>
        <w:t xml:space="preserve"> recommended increasing the frequency of cleaning and decontamination of communal items, utilis</w:t>
      </w:r>
      <w:r w:rsidR="00242A0F">
        <w:t>ing</w:t>
      </w:r>
      <w:r>
        <w:t xml:space="preserve"> single-patient use equipment wherever possible and decontaminat</w:t>
      </w:r>
      <w:r w:rsidR="00242A0F">
        <w:t>ing</w:t>
      </w:r>
      <w:r>
        <w:t xml:space="preserve"> all other equipment immediately after use.</w:t>
      </w:r>
      <w:r>
        <w:rPr>
          <w:vertAlign w:val="superscript"/>
        </w:rPr>
        <w:t xml:space="preserve"> </w:t>
      </w:r>
    </w:p>
    <w:p w14:paraId="27AE93DC" w14:textId="57137F83" w:rsidR="00FF635C" w:rsidRDefault="00FF635C" w:rsidP="00CF7116">
      <w:pPr>
        <w:spacing w:before="240" w:line="276" w:lineRule="auto"/>
      </w:pPr>
      <w:r w:rsidRPr="0095272F">
        <w:t xml:space="preserve">There was </w:t>
      </w:r>
      <w:r w:rsidRPr="00656EFF">
        <w:t>weak evidence</w:t>
      </w:r>
      <w:r>
        <w:t xml:space="preserve"> of benefit from four outbreak studies</w:t>
      </w:r>
      <w:r w:rsidR="002250AE">
        <w:rPr>
          <w:vertAlign w:val="superscript"/>
        </w:rPr>
        <w:t>19,31,40,123</w:t>
      </w:r>
      <w:r w:rsidR="002250AE" w:rsidRPr="002250AE">
        <w:t xml:space="preserve"> </w:t>
      </w:r>
      <w:r>
        <w:t>and one environmental survey,</w:t>
      </w:r>
      <w:r w:rsidR="002250AE">
        <w:rPr>
          <w:vertAlign w:val="superscript"/>
        </w:rPr>
        <w:t>170</w:t>
      </w:r>
      <w:r>
        <w:t xml:space="preserve"> which reported the effect of disinfecting shared equipment during the outbreaks</w:t>
      </w:r>
      <w:r w:rsidR="002250AE">
        <w:rPr>
          <w:vertAlign w:val="superscript"/>
        </w:rPr>
        <w:t>19,31,40,123</w:t>
      </w:r>
      <w:r w:rsidR="002250AE" w:rsidRPr="002250AE">
        <w:t xml:space="preserve"> </w:t>
      </w:r>
      <w:r>
        <w:t>or in non-outbreak situations when norovirus patients were present</w:t>
      </w:r>
      <w:r w:rsidR="002250AE">
        <w:rPr>
          <w:vertAlign w:val="superscript"/>
        </w:rPr>
        <w:t>170</w:t>
      </w:r>
      <w:r>
        <w:t xml:space="preserve"> in healthcare facilities. Four studies, which described a total of eight outbreaks affecting 13 to 164 cases (median 58) and lasting </w:t>
      </w:r>
      <w:r>
        <w:lastRenderedPageBreak/>
        <w:t>15 to 44 days (median 19 days), reported that disinfecting the shared equipment, together with other interventions, contributed to outbreak resolution. In one large outbreak</w:t>
      </w:r>
      <w:r w:rsidR="002250AE">
        <w:rPr>
          <w:vertAlign w:val="superscript"/>
        </w:rPr>
        <w:t>40</w:t>
      </w:r>
      <w:r>
        <w:t xml:space="preserve"> in </w:t>
      </w:r>
      <w:r w:rsidR="00656EFF">
        <w:t>a</w:t>
      </w:r>
      <w:r>
        <w:t xml:space="preserve"> </w:t>
      </w:r>
      <w:r w:rsidR="00E2003E">
        <w:t>LTCF</w:t>
      </w:r>
      <w:r>
        <w:t>, interventions were introduced late and only after new norovirus cases occurred on a third unit. The authors reported that</w:t>
      </w:r>
      <w:r w:rsidR="00242A0F">
        <w:t>,</w:t>
      </w:r>
      <w:r>
        <w:t xml:space="preserve"> together with other control measures, wiping all equipment used by allied health professionals with hot water contributed to the outbreak resolution. Another study</w:t>
      </w:r>
      <w:r w:rsidR="002250AE">
        <w:rPr>
          <w:vertAlign w:val="superscript"/>
        </w:rPr>
        <w:t>19</w:t>
      </w:r>
      <w:r>
        <w:t xml:space="preserve"> described two outbreaks which occurred in the same institution and reported that during the second outbreak, additional control measures which included disinfecting all shared equipment with 1000ppm </w:t>
      </w:r>
      <w:r w:rsidR="00E2003E">
        <w:t>NaCl-</w:t>
      </w:r>
      <w:r>
        <w:t xml:space="preserve">, had a positive effect on its progression. While the number of affected patients and the duration were similar in both outbreaks, the authors reported that these additional measures resulted in fewer staff being affected and </w:t>
      </w:r>
      <w:r w:rsidR="00656EFF">
        <w:t xml:space="preserve">a </w:t>
      </w:r>
      <w:r>
        <w:t>shorter duration of ward closures. The total number of cases and the duration of the outbreak</w:t>
      </w:r>
      <w:r w:rsidR="00656EFF">
        <w:t>s</w:t>
      </w:r>
      <w:r>
        <w:t xml:space="preserve"> after control measures were introduced were also similar in both outbreaks (27 vs 27 cases and</w:t>
      </w:r>
      <w:r w:rsidR="001128A6">
        <w:t xml:space="preserve"> eleven </w:t>
      </w:r>
      <w:r>
        <w:t>vs 13 days in outbreak</w:t>
      </w:r>
      <w:r w:rsidR="00656EFF">
        <w:t>s</w:t>
      </w:r>
      <w:r>
        <w:t xml:space="preserve"> 1 and 2 respectively). In another outbreak,</w:t>
      </w:r>
      <w:r w:rsidRPr="005E73E4">
        <w:rPr>
          <w:vertAlign w:val="superscript"/>
        </w:rPr>
        <w:t>3</w:t>
      </w:r>
      <w:r w:rsidR="002250AE">
        <w:rPr>
          <w:vertAlign w:val="superscript"/>
        </w:rPr>
        <w:t>1</w:t>
      </w:r>
      <w:r>
        <w:t xml:space="preserve"> initial control measures had no impact on outbreak course and only when enhanced interventions were introduced, </w:t>
      </w:r>
      <w:r w:rsidR="00656EFF">
        <w:t xml:space="preserve">did </w:t>
      </w:r>
      <w:r>
        <w:t xml:space="preserve">the number of cases start to decrease. As a part of the enhanced measures, all wards which had no new cases for four days disinfected all shared equipment and surfaces with 2% </w:t>
      </w:r>
      <w:r w:rsidR="00E2003E">
        <w:t>NaCl-</w:t>
      </w:r>
      <w:r>
        <w:t xml:space="preserve"> to ensure</w:t>
      </w:r>
      <w:r w:rsidR="00656EFF">
        <w:t xml:space="preserve"> that</w:t>
      </w:r>
      <w:r>
        <w:t xml:space="preserve"> no new transmissions occurred. </w:t>
      </w:r>
      <w:r w:rsidR="00656EFF">
        <w:t>A f</w:t>
      </w:r>
      <w:r>
        <w:t>urther 60 cases occurred in hospital but the authors reported that no</w:t>
      </w:r>
      <w:r w:rsidR="00656EFF">
        <w:t>ne</w:t>
      </w:r>
      <w:r>
        <w:t xml:space="preserve"> </w:t>
      </w:r>
      <w:r w:rsidR="00656EFF">
        <w:t xml:space="preserve">occurred </w:t>
      </w:r>
      <w:r>
        <w:t xml:space="preserve">in the wards </w:t>
      </w:r>
      <w:r w:rsidR="00656EFF">
        <w:t>which were disinfected</w:t>
      </w:r>
      <w:r>
        <w:t xml:space="preserve"> and that the outbreak was contained in the entire hospital within eleven days. The last study</w:t>
      </w:r>
      <w:r w:rsidR="002250AE">
        <w:rPr>
          <w:vertAlign w:val="superscript"/>
        </w:rPr>
        <w:t>123</w:t>
      </w:r>
      <w:r>
        <w:t xml:space="preserve"> reported </w:t>
      </w:r>
      <w:r w:rsidR="00656EFF">
        <w:t>on</w:t>
      </w:r>
      <w:r>
        <w:t xml:space="preserve"> four different outbreaks which occurred in the same institution over two years. The authors reported that the first outbreak enabled them to identify successful control measures which were </w:t>
      </w:r>
      <w:r w:rsidR="00656EFF">
        <w:t xml:space="preserve">then </w:t>
      </w:r>
      <w:r>
        <w:t xml:space="preserve">used in controlling </w:t>
      </w:r>
      <w:r w:rsidR="00656EFF">
        <w:t>subsequent</w:t>
      </w:r>
      <w:r>
        <w:t xml:space="preserve"> outbreaks. These control measures, which included disinfecting all shared equipment with 500ppm </w:t>
      </w:r>
      <w:r w:rsidR="00E2003E">
        <w:t>NaCl-</w:t>
      </w:r>
      <w:r>
        <w:t xml:space="preserve"> every eight hours, resulted in less cases being affected in the subsequent outbreaks (82 cases in outbreak 1, and 31, 58 and 13 cases in outbreaks 2-4). Lastly, the environmental survey,</w:t>
      </w:r>
      <w:r w:rsidR="002250AE">
        <w:rPr>
          <w:vertAlign w:val="superscript"/>
        </w:rPr>
        <w:t>170</w:t>
      </w:r>
      <w:r>
        <w:t xml:space="preserve"> which was carried out in the hospital wards where norovirus patients were present, reported the results of disinfecting all shared equipment, surfaces, and fixtures with 1000ppm </w:t>
      </w:r>
      <w:r w:rsidR="00E2003E">
        <w:t>NaCl-</w:t>
      </w:r>
      <w:r>
        <w:t xml:space="preserve"> (10,000 ppm if soiled with body fluids). The authors reported that, overall, following the disinfection, 40% (36/91) of the equipment still remained contaminated. Re-cleaning resulted in less contamination (4/32, 13%), although the thermometer, notes trolley and computer keyboard were identified as potential hotspots for fomites as these were not cleaned appropriately. The authors also reported that at the start of the intervention, cleaning performance initially improved but it deteriorated over the next three months.</w:t>
      </w:r>
    </w:p>
    <w:p w14:paraId="6F6B158B" w14:textId="04B524F8" w:rsidR="00FF635C" w:rsidRDefault="00FF635C" w:rsidP="00CF7116">
      <w:pPr>
        <w:spacing w:before="240" w:line="276" w:lineRule="auto"/>
      </w:pPr>
      <w:r w:rsidRPr="0095272F">
        <w:t xml:space="preserve">There was </w:t>
      </w:r>
      <w:r w:rsidRPr="00656EFF">
        <w:t>weak evidence</w:t>
      </w:r>
      <w:r>
        <w:t xml:space="preserve"> of benefit from one outbreak study,</w:t>
      </w:r>
      <w:r w:rsidR="002250AE">
        <w:rPr>
          <w:vertAlign w:val="superscript"/>
        </w:rPr>
        <w:t>41</w:t>
      </w:r>
      <w:r w:rsidRPr="009A2010">
        <w:t xml:space="preserve"> </w:t>
      </w:r>
      <w:r>
        <w:t xml:space="preserve">which described the effect of disinfecting shared equipment during </w:t>
      </w:r>
      <w:r w:rsidR="00242A0F">
        <w:t>a</w:t>
      </w:r>
      <w:r>
        <w:t xml:space="preserve"> norovirus outbreak outside the healthcare setting. This outbreak</w:t>
      </w:r>
      <w:r w:rsidR="00656EFF">
        <w:t>,</w:t>
      </w:r>
      <w:r>
        <w:t xml:space="preserve"> which occurred in </w:t>
      </w:r>
      <w:r w:rsidR="00656EFF">
        <w:t xml:space="preserve">a </w:t>
      </w:r>
      <w:r>
        <w:t>school</w:t>
      </w:r>
      <w:r w:rsidR="00242A0F">
        <w:t>,</w:t>
      </w:r>
      <w:r>
        <w:t xml:space="preserve"> affected 103 cases and lasted </w:t>
      </w:r>
      <w:r w:rsidR="00656EFF">
        <w:t xml:space="preserve">for </w:t>
      </w:r>
      <w:r>
        <w:t xml:space="preserve">14 days. The initial outbreak measures, which included disinfection of all surfaces with </w:t>
      </w:r>
      <w:r w:rsidR="00E2003E">
        <w:t>NaCl-</w:t>
      </w:r>
      <w:r>
        <w:t xml:space="preserve"> and encouraging hand hygiene, did not result in outbreak resolution. The authors reported that cases continued despite these interventions </w:t>
      </w:r>
      <w:r w:rsidR="00656EFF">
        <w:t xml:space="preserve">being </w:t>
      </w:r>
      <w:r>
        <w:t xml:space="preserve">in place and that one of the risk factors for the later cases was </w:t>
      </w:r>
      <w:r w:rsidR="00656EFF">
        <w:t>a</w:t>
      </w:r>
      <w:r>
        <w:t xml:space="preserve"> classroom with shared computers. Following this finding, environmental sampling identified one computer keyboard and mouse which were contaminated with norovirus and disinfection of these with 1:50 </w:t>
      </w:r>
      <w:r w:rsidR="00E2003E">
        <w:t>NaCl-</w:t>
      </w:r>
      <w:r>
        <w:t xml:space="preserve"> solution resulted in only four further cases within two days, after which the outbreak ended. </w:t>
      </w:r>
    </w:p>
    <w:p w14:paraId="1D6AC45A" w14:textId="5D89D85F" w:rsidR="002250AE" w:rsidRDefault="002250AE" w:rsidP="00CF7116">
      <w:pPr>
        <w:spacing w:before="240" w:line="276" w:lineRule="auto"/>
      </w:pPr>
      <w:r>
        <w:t>There was weak evidence from one outbreak study,</w:t>
      </w:r>
      <w:r w:rsidRPr="002250AE">
        <w:rPr>
          <w:vertAlign w:val="superscript"/>
        </w:rPr>
        <w:t>22</w:t>
      </w:r>
      <w:r w:rsidRPr="002250AE">
        <w:t xml:space="preserve"> </w:t>
      </w:r>
      <w:r>
        <w:t xml:space="preserve">which described the effect of withdrawing access to shared equipment during the norovirus outbreak in a healthcare setting. The outbreak affected eleven patients and lasted five days. The authors reported that after an introduction of </w:t>
      </w:r>
      <w:r>
        <w:lastRenderedPageBreak/>
        <w:t xml:space="preserve">control measures, which included removing all toys and magazines, there were only three further cases in the next three days, after which time the outbreak ended. The authors also reported that there were no re-occurrences or a second wave. </w:t>
      </w:r>
    </w:p>
    <w:p w14:paraId="7A265F4B" w14:textId="2D53FA48" w:rsidR="00FF635C" w:rsidRDefault="00FF635C" w:rsidP="00CF7116">
      <w:pPr>
        <w:spacing w:before="240" w:line="276" w:lineRule="auto"/>
      </w:pPr>
      <w:r w:rsidRPr="0095272F">
        <w:t xml:space="preserve">There was </w:t>
      </w:r>
      <w:r w:rsidRPr="00656EFF">
        <w:t>weak evidence</w:t>
      </w:r>
      <w:r>
        <w:t xml:space="preserve"> from two outbreak studies,</w:t>
      </w:r>
      <w:r w:rsidR="002250AE">
        <w:rPr>
          <w:vertAlign w:val="superscript"/>
        </w:rPr>
        <w:t>44,48</w:t>
      </w:r>
      <w:r w:rsidRPr="009A2010">
        <w:t xml:space="preserve"> </w:t>
      </w:r>
      <w:r>
        <w:t>which described the effect of withdrawing access to shared equipment during the norovirus outbreak</w:t>
      </w:r>
      <w:r w:rsidR="00656EFF">
        <w:t>s</w:t>
      </w:r>
      <w:r>
        <w:t xml:space="preserve"> outside </w:t>
      </w:r>
      <w:r w:rsidR="00656EFF">
        <w:t>the</w:t>
      </w:r>
      <w:r>
        <w:t xml:space="preserve"> healthcare setting. One of these studies,</w:t>
      </w:r>
      <w:r w:rsidR="002250AE">
        <w:rPr>
          <w:vertAlign w:val="superscript"/>
        </w:rPr>
        <w:t>44</w:t>
      </w:r>
      <w:r>
        <w:t xml:space="preserve"> which described an outbreak in a hotel affecting 98 cases (wedding guests, staff and hotel guests) and lasting five days, reported a benefit of closing all facilities with access to shared equipment, together with other measures, in containing the outbreak. The authors reported that following the introduction of these control measures, there were </w:t>
      </w:r>
      <w:r w:rsidR="00656EFF">
        <w:t xml:space="preserve">a </w:t>
      </w:r>
      <w:r>
        <w:t>further three cases the next day, after which time the outbreak ended. The other study,</w:t>
      </w:r>
      <w:r w:rsidR="002250AE">
        <w:rPr>
          <w:vertAlign w:val="superscript"/>
        </w:rPr>
        <w:t>48</w:t>
      </w:r>
      <w:r>
        <w:t xml:space="preserve"> which described a large outbreak in a military camp affecting 156 cases and lasting 17 days, reported that withdrawal of all shared equipment together with other control measures, had no effect on </w:t>
      </w:r>
      <w:r w:rsidR="00656EFF">
        <w:t xml:space="preserve">the </w:t>
      </w:r>
      <w:r>
        <w:t xml:space="preserve">outbreak progress and that new cases occurred at similar rate. The authors reported that the outbreak was resolved only after the entire facility was disinfected with </w:t>
      </w:r>
      <w:r w:rsidR="00E2003E">
        <w:t>NaCl-</w:t>
      </w:r>
      <w:r>
        <w:t xml:space="preserve">. </w:t>
      </w:r>
    </w:p>
    <w:p w14:paraId="2D22AC5E" w14:textId="0C30CB3E" w:rsidR="00FF635C" w:rsidRDefault="00FF635C" w:rsidP="00CF7116">
      <w:pPr>
        <w:spacing w:before="240" w:line="276" w:lineRule="auto"/>
      </w:pPr>
      <w:r w:rsidRPr="0095272F">
        <w:t xml:space="preserve">There was </w:t>
      </w:r>
      <w:r w:rsidRPr="00656EFF">
        <w:t>weak evidence</w:t>
      </w:r>
      <w:r>
        <w:t xml:space="preserve"> of benefit from three outbreak studies,</w:t>
      </w:r>
      <w:r w:rsidR="002250AE">
        <w:rPr>
          <w:vertAlign w:val="superscript"/>
        </w:rPr>
        <w:t>26,28,37</w:t>
      </w:r>
      <w:r w:rsidRPr="009A2010">
        <w:t xml:space="preserve"> </w:t>
      </w:r>
      <w:r>
        <w:t>which described the effect of disinfecting shared equipment and discarding or removing access to equipment which could not be disinfected during norovirus outbreaks in healthcare setting</w:t>
      </w:r>
      <w:r w:rsidR="00656EFF">
        <w:t>s</w:t>
      </w:r>
      <w:r>
        <w:t xml:space="preserve">. All three studies reported </w:t>
      </w:r>
      <w:r w:rsidR="00656EFF">
        <w:t>a</w:t>
      </w:r>
      <w:r>
        <w:t xml:space="preserve"> benefit</w:t>
      </w:r>
      <w:r w:rsidR="00656EFF">
        <w:t xml:space="preserve"> of</w:t>
      </w:r>
      <w:r>
        <w:t xml:space="preserve"> using this strategy in containing the outbreak. One of these studies,</w:t>
      </w:r>
      <w:r w:rsidR="002250AE">
        <w:rPr>
          <w:vertAlign w:val="superscript"/>
        </w:rPr>
        <w:t>26</w:t>
      </w:r>
      <w:r>
        <w:t xml:space="preserve"> which affected 355 cases and lasted over two months</w:t>
      </w:r>
      <w:r w:rsidR="00656EFF">
        <w:t>,</w:t>
      </w:r>
      <w:r>
        <w:t xml:space="preserve"> reported that disinfection of all surfaces and equipment with </w:t>
      </w:r>
      <w:r w:rsidR="00E2003E">
        <w:t>NaCl-</w:t>
      </w:r>
      <w:r>
        <w:t xml:space="preserve"> and discarding all supplies resulted in outbreak resolution on one unit. On other units, where this strategy was not implemented, cases continued until further control measures were put in place. The authors reported that the total cost of replacing the supplies and other shared equipment was </w:t>
      </w:r>
      <w:r w:rsidRPr="00C2627C">
        <w:t>$53,075</w:t>
      </w:r>
      <w:r>
        <w:t xml:space="preserve"> (approx. £41,000). Another study</w:t>
      </w:r>
      <w:r w:rsidR="002250AE">
        <w:rPr>
          <w:vertAlign w:val="superscript"/>
        </w:rPr>
        <w:t>28</w:t>
      </w:r>
      <w:r>
        <w:t xml:space="preserve"> reported that the outbreak was quickly contained after control measures were put in place on </w:t>
      </w:r>
      <w:r w:rsidR="00656EFF">
        <w:t>the</w:t>
      </w:r>
      <w:r>
        <w:t xml:space="preserve"> first day following the recognition of two cases with norovirus-like symptoms. One of the control measures was to disinfect all surfaces and shared items with hydrogen peroxide wipes and </w:t>
      </w:r>
      <w:r w:rsidR="00656EFF">
        <w:t xml:space="preserve">to </w:t>
      </w:r>
      <w:r>
        <w:t>remov</w:t>
      </w:r>
      <w:r w:rsidR="00656EFF">
        <w:t>e</w:t>
      </w:r>
      <w:r>
        <w:t xml:space="preserve"> all items (e.g. books and games) on which these wipes could not be used. The authors reported that introduction of these interventions resulted in only one further case occurring the next day, who was reported to be already discharged and who recovered at home. The last study</w:t>
      </w:r>
      <w:r w:rsidR="002250AE">
        <w:rPr>
          <w:vertAlign w:val="superscript"/>
        </w:rPr>
        <w:t>37</w:t>
      </w:r>
      <w:r>
        <w:t xml:space="preserve"> described an outbreak in</w:t>
      </w:r>
      <w:r w:rsidR="00656EFF">
        <w:t xml:space="preserve"> a</w:t>
      </w:r>
      <w:r>
        <w:t xml:space="preserve"> paediatric oncology unit which affected 14 patients and lasted</w:t>
      </w:r>
      <w:r w:rsidR="00656EFF">
        <w:t xml:space="preserve"> for</w:t>
      </w:r>
      <w:r>
        <w:t xml:space="preserve"> 23 days. It was reported that 25 staff members also had symptoms compatible with norovirus infection, although the majority of these staff were not tested. The authors reported that the introduction of control measures, which included closing the playroom where all shared toys were kept and disinfecting the toys with </w:t>
      </w:r>
      <w:r w:rsidR="00E2003E">
        <w:t>NaCl-</w:t>
      </w:r>
      <w:r>
        <w:t>, resulted in outbreak resolution with only four patient cases occurring after the control measures were in place</w:t>
      </w:r>
      <w:r w:rsidR="00656EFF">
        <w:t>.</w:t>
      </w:r>
      <w:r>
        <w:t xml:space="preserve"> </w:t>
      </w:r>
      <w:r w:rsidR="00656EFF">
        <w:t>N</w:t>
      </w:r>
      <w:r>
        <w:t xml:space="preserve">o further waves of infection </w:t>
      </w:r>
      <w:r w:rsidR="00656EFF">
        <w:t xml:space="preserve">occurred </w:t>
      </w:r>
      <w:r>
        <w:t xml:space="preserve">despite evidence that there were at least two chronic shedders present on the unit. </w:t>
      </w:r>
    </w:p>
    <w:p w14:paraId="263B702F" w14:textId="21A2B31C" w:rsidR="00FF635C" w:rsidRDefault="00FF635C"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effect of disinfecting shared equipment and discarding or removing access to the equipment which could not be disinfected during norovirus outbreaks outside the healthcare setting. </w:t>
      </w:r>
    </w:p>
    <w:p w14:paraId="5B604965" w14:textId="2D14FB53" w:rsidR="00FF635C" w:rsidRDefault="00FF635C" w:rsidP="00CF7116">
      <w:pPr>
        <w:spacing w:before="240" w:line="276" w:lineRule="auto"/>
        <w:rPr>
          <w:rFonts w:cstheme="minorHAnsi"/>
        </w:rPr>
      </w:pPr>
      <w:r>
        <w:rPr>
          <w:rFonts w:cstheme="minorHAnsi"/>
        </w:rPr>
        <w:t xml:space="preserve">There was one </w:t>
      </w:r>
      <w:r w:rsidR="002569D6">
        <w:rPr>
          <w:rFonts w:cstheme="minorHAnsi"/>
        </w:rPr>
        <w:t xml:space="preserve">additional </w:t>
      </w:r>
      <w:r>
        <w:rPr>
          <w:rFonts w:cstheme="minorHAnsi"/>
        </w:rPr>
        <w:t>study</w:t>
      </w:r>
      <w:r w:rsidR="002250AE">
        <w:rPr>
          <w:rFonts w:cstheme="minorHAnsi"/>
          <w:vertAlign w:val="superscript"/>
        </w:rPr>
        <w:t>266</w:t>
      </w:r>
      <w:r>
        <w:rPr>
          <w:rFonts w:cstheme="minorHAnsi"/>
        </w:rPr>
        <w:t xml:space="preserve"> which was excluded because it did not report data specific to norovirus. However, the study r</w:t>
      </w:r>
      <w:r w:rsidRPr="00477BA4">
        <w:rPr>
          <w:rFonts w:cstheme="minorHAnsi"/>
        </w:rPr>
        <w:t xml:space="preserve">eported sampling the </w:t>
      </w:r>
      <w:r>
        <w:rPr>
          <w:rFonts w:cstheme="minorHAnsi"/>
        </w:rPr>
        <w:t xml:space="preserve">self-serve </w:t>
      </w:r>
      <w:r w:rsidRPr="00477BA4">
        <w:rPr>
          <w:rFonts w:cstheme="minorHAnsi"/>
        </w:rPr>
        <w:t>hot beverage trolley</w:t>
      </w:r>
      <w:r>
        <w:rPr>
          <w:rFonts w:cstheme="minorHAnsi"/>
        </w:rPr>
        <w:t>, which has become a popular addition in hospitals</w:t>
      </w:r>
      <w:r w:rsidRPr="00477BA4">
        <w:rPr>
          <w:rFonts w:cstheme="minorHAnsi"/>
        </w:rPr>
        <w:t xml:space="preserve"> </w:t>
      </w:r>
      <w:r>
        <w:rPr>
          <w:rFonts w:cstheme="minorHAnsi"/>
        </w:rPr>
        <w:t>to improve patient hydration</w:t>
      </w:r>
      <w:r w:rsidRPr="00477BA4">
        <w:rPr>
          <w:rFonts w:cstheme="minorHAnsi"/>
        </w:rPr>
        <w:t xml:space="preserve">. </w:t>
      </w:r>
      <w:r>
        <w:rPr>
          <w:rFonts w:cstheme="minorHAnsi"/>
        </w:rPr>
        <w:t xml:space="preserve">The authors reported that they </w:t>
      </w:r>
      <w:r>
        <w:rPr>
          <w:rFonts w:cstheme="minorHAnsi"/>
        </w:rPr>
        <w:lastRenderedPageBreak/>
        <w:t>u</w:t>
      </w:r>
      <w:r w:rsidRPr="00477BA4">
        <w:rPr>
          <w:rFonts w:cstheme="minorHAnsi"/>
        </w:rPr>
        <w:t xml:space="preserve">sed </w:t>
      </w:r>
      <w:r w:rsidR="00656EFF">
        <w:rPr>
          <w:rFonts w:cstheme="minorHAnsi"/>
        </w:rPr>
        <w:t>an</w:t>
      </w:r>
      <w:r>
        <w:rPr>
          <w:rFonts w:cstheme="minorHAnsi"/>
        </w:rPr>
        <w:t xml:space="preserve"> </w:t>
      </w:r>
      <w:r w:rsidRPr="00477BA4">
        <w:rPr>
          <w:rFonts w:cstheme="minorHAnsi"/>
        </w:rPr>
        <w:t xml:space="preserve">ATP measuring device to assess the contamination of </w:t>
      </w:r>
      <w:r>
        <w:rPr>
          <w:rFonts w:cstheme="minorHAnsi"/>
        </w:rPr>
        <w:t xml:space="preserve">different types of equipment found on one of </w:t>
      </w:r>
      <w:r w:rsidRPr="00477BA4">
        <w:rPr>
          <w:rFonts w:cstheme="minorHAnsi"/>
        </w:rPr>
        <w:t>the</w:t>
      </w:r>
      <w:r>
        <w:rPr>
          <w:rFonts w:cstheme="minorHAnsi"/>
        </w:rPr>
        <w:t>se</w:t>
      </w:r>
      <w:r w:rsidRPr="00477BA4">
        <w:rPr>
          <w:rFonts w:cstheme="minorHAnsi"/>
        </w:rPr>
        <w:t xml:space="preserve"> trolley</w:t>
      </w:r>
      <w:r>
        <w:rPr>
          <w:rFonts w:cstheme="minorHAnsi"/>
        </w:rPr>
        <w:t>s</w:t>
      </w:r>
      <w:r w:rsidRPr="00477BA4">
        <w:rPr>
          <w:rFonts w:cstheme="minorHAnsi"/>
        </w:rPr>
        <w:t>. Based on the results (heavy contamination of various items</w:t>
      </w:r>
      <w:r>
        <w:rPr>
          <w:rFonts w:cstheme="minorHAnsi"/>
        </w:rPr>
        <w:t>, no data provided</w:t>
      </w:r>
      <w:r w:rsidRPr="00477BA4">
        <w:rPr>
          <w:rFonts w:cstheme="minorHAnsi"/>
        </w:rPr>
        <w:t>),</w:t>
      </w:r>
      <w:r>
        <w:rPr>
          <w:rFonts w:cstheme="minorHAnsi"/>
        </w:rPr>
        <w:t xml:space="preserve"> the</w:t>
      </w:r>
      <w:r w:rsidRPr="00477BA4">
        <w:rPr>
          <w:rFonts w:cstheme="minorHAnsi"/>
        </w:rPr>
        <w:t xml:space="preserve"> authors recommended that the trolleys </w:t>
      </w:r>
      <w:r>
        <w:rPr>
          <w:rFonts w:cstheme="minorHAnsi"/>
        </w:rPr>
        <w:t>with</w:t>
      </w:r>
      <w:r w:rsidRPr="00477BA4">
        <w:rPr>
          <w:rFonts w:cstheme="minorHAnsi"/>
        </w:rPr>
        <w:t xml:space="preserve"> all </w:t>
      </w:r>
      <w:r>
        <w:rPr>
          <w:rFonts w:cstheme="minorHAnsi"/>
        </w:rPr>
        <w:t xml:space="preserve">included </w:t>
      </w:r>
      <w:r w:rsidRPr="00477BA4">
        <w:rPr>
          <w:rFonts w:cstheme="minorHAnsi"/>
        </w:rPr>
        <w:t>equipment should be disinfected more often than once daily and</w:t>
      </w:r>
      <w:r>
        <w:rPr>
          <w:rFonts w:cstheme="minorHAnsi"/>
        </w:rPr>
        <w:t>,</w:t>
      </w:r>
      <w:r w:rsidRPr="00477BA4">
        <w:rPr>
          <w:rFonts w:cstheme="minorHAnsi"/>
        </w:rPr>
        <w:t xml:space="preserve"> if NV is present on a ward, </w:t>
      </w:r>
      <w:r>
        <w:rPr>
          <w:rFonts w:cstheme="minorHAnsi"/>
        </w:rPr>
        <w:t>that all trolley equipment should be removed</w:t>
      </w:r>
      <w:r w:rsidRPr="00477BA4">
        <w:rPr>
          <w:rFonts w:cstheme="minorHAnsi"/>
        </w:rPr>
        <w:t>.</w:t>
      </w:r>
      <w:r>
        <w:rPr>
          <w:rFonts w:cstheme="minorHAnsi"/>
        </w:rPr>
        <w:t xml:space="preserve"> </w:t>
      </w:r>
    </w:p>
    <w:p w14:paraId="17EC8AE6" w14:textId="5C3D9C7B" w:rsidR="00FF635C" w:rsidRPr="00F84BAC" w:rsidRDefault="00F84BAC" w:rsidP="00CF7116">
      <w:pPr>
        <w:spacing w:before="240" w:line="276" w:lineRule="auto"/>
        <w:rPr>
          <w:rFonts w:cstheme="minorHAnsi"/>
          <w:i/>
          <w:iCs/>
        </w:rPr>
      </w:pPr>
      <w:r w:rsidRPr="00F84BAC">
        <w:rPr>
          <w:rFonts w:cstheme="minorHAnsi"/>
          <w:i/>
          <w:iCs/>
        </w:rPr>
        <w:t>The Working Party agreed that, d</w:t>
      </w:r>
      <w:r w:rsidR="00656EFF" w:rsidRPr="00F84BAC">
        <w:rPr>
          <w:rFonts w:cstheme="minorHAnsi"/>
          <w:i/>
          <w:iCs/>
        </w:rPr>
        <w:t xml:space="preserve">uring </w:t>
      </w:r>
      <w:r w:rsidRPr="00F84BAC">
        <w:rPr>
          <w:rFonts w:cstheme="minorHAnsi"/>
          <w:i/>
          <w:iCs/>
        </w:rPr>
        <w:t>norovirus</w:t>
      </w:r>
      <w:r w:rsidR="00656EFF" w:rsidRPr="00F84BAC">
        <w:rPr>
          <w:rFonts w:cstheme="minorHAnsi"/>
          <w:i/>
          <w:iCs/>
        </w:rPr>
        <w:t xml:space="preserve"> outbreaks, </w:t>
      </w:r>
      <w:r>
        <w:rPr>
          <w:rFonts w:cstheme="minorHAnsi"/>
          <w:i/>
          <w:iCs/>
        </w:rPr>
        <w:t xml:space="preserve">shared </w:t>
      </w:r>
      <w:r w:rsidR="00656EFF" w:rsidRPr="00F84BAC">
        <w:rPr>
          <w:rFonts w:cstheme="minorHAnsi"/>
          <w:i/>
          <w:iCs/>
        </w:rPr>
        <w:t xml:space="preserve">equipment is likely to </w:t>
      </w:r>
      <w:r>
        <w:rPr>
          <w:rFonts w:cstheme="minorHAnsi"/>
          <w:i/>
          <w:iCs/>
        </w:rPr>
        <w:t>become</w:t>
      </w:r>
      <w:r w:rsidR="00656EFF" w:rsidRPr="00F84BAC">
        <w:rPr>
          <w:rFonts w:cstheme="minorHAnsi"/>
          <w:i/>
          <w:iCs/>
        </w:rPr>
        <w:t xml:space="preserve"> contaminated</w:t>
      </w:r>
      <w:r>
        <w:rPr>
          <w:rFonts w:cstheme="minorHAnsi"/>
          <w:i/>
          <w:iCs/>
        </w:rPr>
        <w:t>. Despite weak evidence for any of the strategies, the Working Party agreed that it was good practice to ensure that</w:t>
      </w:r>
      <w:r w:rsidR="00656EFF" w:rsidRPr="00F84BAC">
        <w:rPr>
          <w:rFonts w:cstheme="minorHAnsi"/>
          <w:i/>
          <w:iCs/>
        </w:rPr>
        <w:t xml:space="preserve"> </w:t>
      </w:r>
      <w:r>
        <w:rPr>
          <w:rFonts w:cstheme="minorHAnsi"/>
          <w:i/>
          <w:iCs/>
        </w:rPr>
        <w:t xml:space="preserve">shared equipment </w:t>
      </w:r>
      <w:r w:rsidR="00656EFF" w:rsidRPr="00F84BAC">
        <w:rPr>
          <w:rFonts w:cstheme="minorHAnsi"/>
          <w:i/>
          <w:iCs/>
        </w:rPr>
        <w:t>should either be d</w:t>
      </w:r>
      <w:r w:rsidRPr="00F84BAC">
        <w:rPr>
          <w:rFonts w:cstheme="minorHAnsi"/>
          <w:i/>
          <w:iCs/>
        </w:rPr>
        <w:t>econtaminated</w:t>
      </w:r>
      <w:r w:rsidR="00656EFF" w:rsidRPr="00F84BAC">
        <w:rPr>
          <w:rFonts w:cstheme="minorHAnsi"/>
          <w:i/>
          <w:iCs/>
        </w:rPr>
        <w:t xml:space="preserve"> or removed and then discarded</w:t>
      </w:r>
      <w:r w:rsidRPr="00F84BAC">
        <w:rPr>
          <w:rFonts w:cstheme="minorHAnsi"/>
          <w:i/>
          <w:iCs/>
        </w:rPr>
        <w:t xml:space="preserve">. </w:t>
      </w:r>
      <w:r>
        <w:rPr>
          <w:rFonts w:cstheme="minorHAnsi"/>
          <w:i/>
          <w:iCs/>
        </w:rPr>
        <w:t xml:space="preserve">Shared equipment that needs to be decontaminated includes medical and care devices (e.g. commodes, blood pressure monitors), other equipment used to support care (e.g. computer keyboards) as well as any other items not related to care that are used by the patients (e.g. toys, beverage trolleys, snack stations, patient kitchens etc.). </w:t>
      </w:r>
    </w:p>
    <w:p w14:paraId="68995FE9" w14:textId="77777777" w:rsidR="00FF635C" w:rsidRPr="006245E4" w:rsidRDefault="00FF635C" w:rsidP="00CF7116">
      <w:pPr>
        <w:spacing w:line="276" w:lineRule="auto"/>
        <w:rPr>
          <w:b/>
          <w:bCs/>
        </w:rPr>
      </w:pPr>
      <w:r w:rsidRPr="006245E4">
        <w:rPr>
          <w:b/>
          <w:bCs/>
        </w:rPr>
        <w:t>Recommendations:</w:t>
      </w:r>
    </w:p>
    <w:p w14:paraId="5F015CFD" w14:textId="4D4F119E" w:rsidR="00FF635C" w:rsidRPr="00DC6740" w:rsidRDefault="00F84BAC" w:rsidP="00CF7116">
      <w:pPr>
        <w:spacing w:before="240" w:line="276" w:lineRule="auto"/>
      </w:pPr>
      <w:r w:rsidRPr="00F84BAC">
        <w:rPr>
          <w:b/>
          <w:bCs/>
        </w:rPr>
        <w:t>22.1:</w:t>
      </w:r>
      <w:r>
        <w:t xml:space="preserve"> No recommendation</w:t>
      </w:r>
      <w:r w:rsidR="006C356B">
        <w:t>.</w:t>
      </w:r>
    </w:p>
    <w:p w14:paraId="52592C9A" w14:textId="77777777" w:rsidR="00FF635C" w:rsidRPr="006245E4" w:rsidRDefault="00FF635C" w:rsidP="00CF7116">
      <w:pPr>
        <w:spacing w:line="276" w:lineRule="auto"/>
        <w:rPr>
          <w:b/>
          <w:bCs/>
        </w:rPr>
      </w:pPr>
      <w:r w:rsidRPr="006245E4">
        <w:rPr>
          <w:b/>
          <w:bCs/>
        </w:rPr>
        <w:t>Good practice points:</w:t>
      </w:r>
    </w:p>
    <w:p w14:paraId="4210EFDB" w14:textId="24F5683E" w:rsidR="00FF635C" w:rsidRDefault="00F84BAC" w:rsidP="00CF7116">
      <w:pPr>
        <w:spacing w:before="240" w:line="276" w:lineRule="auto"/>
      </w:pPr>
      <w:bookmarkStart w:id="23" w:name="_Hlk118281361"/>
      <w:r w:rsidRPr="00F84BAC">
        <w:rPr>
          <w:b/>
          <w:bCs/>
        </w:rPr>
        <w:t>GPP 22.1:</w:t>
      </w:r>
      <w:r>
        <w:t xml:space="preserve"> </w:t>
      </w:r>
      <w:r w:rsidR="00FF635C">
        <w:t>Decontaminate all equipment (including toys</w:t>
      </w:r>
      <w:r>
        <w:t xml:space="preserve"> and any other items shared by patients</w:t>
      </w:r>
      <w:r w:rsidR="00FF635C">
        <w:t>) as per manufacturers</w:t>
      </w:r>
      <w:r w:rsidR="00242A0F">
        <w:t>’</w:t>
      </w:r>
      <w:r w:rsidR="00FF635C">
        <w:t xml:space="preserve"> instructions and as per local policy</w:t>
      </w:r>
      <w:r w:rsidR="006C356B">
        <w:t>.</w:t>
      </w:r>
      <w:r w:rsidR="003A39B0">
        <w:t xml:space="preserve"> </w:t>
      </w:r>
    </w:p>
    <w:p w14:paraId="6C4B6F30" w14:textId="59E12E65" w:rsidR="002044E3" w:rsidRDefault="002044E3" w:rsidP="00CF7116">
      <w:pPr>
        <w:spacing w:before="240" w:line="276" w:lineRule="auto"/>
      </w:pPr>
      <w:r w:rsidRPr="002044E3">
        <w:rPr>
          <w:b/>
          <w:bCs/>
        </w:rPr>
        <w:t>GPP 22.2:</w:t>
      </w:r>
      <w:r>
        <w:t xml:space="preserve"> W</w:t>
      </w:r>
      <w:r w:rsidRPr="002044E3">
        <w:t>here manufacturers’ instructions do not provide sufficient detail</w:t>
      </w:r>
      <w:r>
        <w:t xml:space="preserve"> on equipment decontamination,</w:t>
      </w:r>
      <w:r w:rsidRPr="002044E3">
        <w:t xml:space="preserve"> </w:t>
      </w:r>
      <w:r>
        <w:t>u</w:t>
      </w:r>
      <w:r w:rsidRPr="002044E3">
        <w:t xml:space="preserve">se local guidelines or contact the Infection Control Team for advice. </w:t>
      </w:r>
    </w:p>
    <w:p w14:paraId="2713FBFF" w14:textId="77777777" w:rsidR="002044E3" w:rsidRDefault="002044E3" w:rsidP="00CF7116">
      <w:pPr>
        <w:spacing w:before="240" w:line="276" w:lineRule="auto"/>
      </w:pPr>
      <w:r w:rsidRPr="002044E3">
        <w:rPr>
          <w:b/>
          <w:bCs/>
        </w:rPr>
        <w:t>GPP 22.3:</w:t>
      </w:r>
      <w:r>
        <w:t xml:space="preserve"> </w:t>
      </w:r>
      <w:r w:rsidRPr="002044E3">
        <w:t xml:space="preserve">Ensure that appropriate decontamination notification/certification is addressed where equipment requires transfer for maintenance. </w:t>
      </w:r>
    </w:p>
    <w:p w14:paraId="7E9A87E7" w14:textId="1037C548" w:rsidR="002044E3" w:rsidRDefault="002044E3" w:rsidP="00CF7116">
      <w:pPr>
        <w:spacing w:before="240" w:line="276" w:lineRule="auto"/>
      </w:pPr>
      <w:r w:rsidRPr="002044E3">
        <w:rPr>
          <w:b/>
          <w:bCs/>
        </w:rPr>
        <w:t>GPP 22.4:</w:t>
      </w:r>
      <w:r>
        <w:t xml:space="preserve"> </w:t>
      </w:r>
      <w:r w:rsidRPr="002044E3">
        <w:t>Be aware that disinfectants may cause damage to some equipment and ensure this issue is addressed in local cleaning guidelines.</w:t>
      </w:r>
    </w:p>
    <w:p w14:paraId="1ECE6B38" w14:textId="549E15B1" w:rsidR="00FF635C" w:rsidRDefault="00F84BAC" w:rsidP="00CF7116">
      <w:pPr>
        <w:spacing w:before="240" w:line="276" w:lineRule="auto"/>
      </w:pPr>
      <w:r w:rsidRPr="00F84BAC">
        <w:rPr>
          <w:b/>
          <w:bCs/>
        </w:rPr>
        <w:t>GPP 22.</w:t>
      </w:r>
      <w:r w:rsidR="002044E3">
        <w:rPr>
          <w:b/>
          <w:bCs/>
        </w:rPr>
        <w:t>5</w:t>
      </w:r>
      <w:r w:rsidRPr="00F84BAC">
        <w:rPr>
          <w:b/>
          <w:bCs/>
        </w:rPr>
        <w:t xml:space="preserve">: </w:t>
      </w:r>
      <w:r>
        <w:t>For equipment that is not readily</w:t>
      </w:r>
      <w:r w:rsidR="00FF635C">
        <w:t xml:space="preserve"> decontaminat</w:t>
      </w:r>
      <w:r>
        <w:t>ed,</w:t>
      </w:r>
      <w:r w:rsidR="00FF635C">
        <w:t xml:space="preserve"> </w:t>
      </w:r>
      <w:r>
        <w:t>provide</w:t>
      </w:r>
      <w:r w:rsidR="00FF635C">
        <w:t xml:space="preserve"> single-use</w:t>
      </w:r>
      <w:r>
        <w:t xml:space="preserve"> items which can be</w:t>
      </w:r>
      <w:r w:rsidR="00FF635C">
        <w:t xml:space="preserve"> remove</w:t>
      </w:r>
      <w:r>
        <w:t>d</w:t>
      </w:r>
      <w:r w:rsidR="00FF635C">
        <w:t xml:space="preserve"> </w:t>
      </w:r>
      <w:r>
        <w:t>easily</w:t>
      </w:r>
      <w:r w:rsidR="00242A0F">
        <w:t>,</w:t>
      </w:r>
      <w:r>
        <w:t xml:space="preserve"> </w:t>
      </w:r>
      <w:r w:rsidR="00FF635C">
        <w:t>discarded</w:t>
      </w:r>
      <w:r>
        <w:t xml:space="preserve"> and replaced</w:t>
      </w:r>
      <w:r w:rsidR="00FF635C">
        <w:t xml:space="preserve">. </w:t>
      </w:r>
    </w:p>
    <w:p w14:paraId="7EF734F2" w14:textId="584079B9" w:rsidR="00FF635C" w:rsidRPr="00DC6740" w:rsidRDefault="00F84BAC" w:rsidP="00CF7116">
      <w:pPr>
        <w:spacing w:before="240" w:line="276" w:lineRule="auto"/>
      </w:pPr>
      <w:r w:rsidRPr="00F84BAC">
        <w:rPr>
          <w:b/>
          <w:bCs/>
        </w:rPr>
        <w:t>GPP 22.</w:t>
      </w:r>
      <w:r w:rsidR="002044E3">
        <w:rPr>
          <w:b/>
          <w:bCs/>
        </w:rPr>
        <w:t>6</w:t>
      </w:r>
      <w:r w:rsidRPr="00F84BAC">
        <w:rPr>
          <w:b/>
          <w:bCs/>
        </w:rPr>
        <w:t>:</w:t>
      </w:r>
      <w:r>
        <w:t xml:space="preserve"> To ensure that </w:t>
      </w:r>
      <w:r w:rsidR="00242A0F">
        <w:t>shared</w:t>
      </w:r>
      <w:r w:rsidR="00FF635C">
        <w:t xml:space="preserve"> items </w:t>
      </w:r>
      <w:r>
        <w:t>are</w:t>
      </w:r>
      <w:r w:rsidR="00FF635C">
        <w:t xml:space="preserve"> easily decontaminated</w:t>
      </w:r>
      <w:r>
        <w:t xml:space="preserve">, perform </w:t>
      </w:r>
      <w:r w:rsidR="00242A0F">
        <w:t xml:space="preserve">a </w:t>
      </w:r>
      <w:r>
        <w:t>r</w:t>
      </w:r>
      <w:r w:rsidR="00FF635C">
        <w:t>isk assessment at the time of procurement</w:t>
      </w:r>
      <w:r w:rsidR="006C356B">
        <w:t>.</w:t>
      </w:r>
    </w:p>
    <w:bookmarkEnd w:id="23"/>
    <w:p w14:paraId="3B9D96CA" w14:textId="77777777" w:rsidR="00FF635C" w:rsidRDefault="00FF635C" w:rsidP="00CF7116">
      <w:pPr>
        <w:spacing w:before="240" w:line="276" w:lineRule="auto"/>
      </w:pPr>
    </w:p>
    <w:p w14:paraId="2D63E508" w14:textId="18DA0B3E" w:rsidR="00E758C0" w:rsidRPr="00E758C0" w:rsidRDefault="00E758C0" w:rsidP="00CF7116">
      <w:pPr>
        <w:pStyle w:val="Heading2"/>
        <w:spacing w:before="240" w:after="160" w:line="276" w:lineRule="auto"/>
      </w:pPr>
      <w:r>
        <w:t>8.23</w:t>
      </w:r>
      <w:r w:rsidRPr="00E758C0">
        <w:tab/>
      </w:r>
      <w:bookmarkStart w:id="24" w:name="_Hlk115161666"/>
      <w:r w:rsidRPr="00E758C0">
        <w:t>How should dirty laundry be handled to avoid norovirus transmission?</w:t>
      </w:r>
      <w:bookmarkEnd w:id="24"/>
    </w:p>
    <w:p w14:paraId="536CEE53" w14:textId="06797C7C" w:rsidR="00990DA2" w:rsidRPr="00990DA2" w:rsidRDefault="00990DA2" w:rsidP="00CF7116">
      <w:pPr>
        <w:spacing w:before="240" w:line="276" w:lineRule="auto"/>
        <w:rPr>
          <w:sz w:val="23"/>
          <w:szCs w:val="23"/>
        </w:rPr>
      </w:pPr>
      <w:r w:rsidRPr="00990DA2">
        <w:rPr>
          <w:sz w:val="23"/>
          <w:szCs w:val="23"/>
        </w:rPr>
        <w:t xml:space="preserve">The provision of clean linen </w:t>
      </w:r>
      <w:r>
        <w:rPr>
          <w:sz w:val="23"/>
          <w:szCs w:val="23"/>
        </w:rPr>
        <w:t xml:space="preserve">may be overlooked in norovirus outbreaks but may be important in preventing transmission. </w:t>
      </w:r>
      <w:r w:rsidRPr="00990DA2">
        <w:rPr>
          <w:sz w:val="23"/>
          <w:szCs w:val="23"/>
        </w:rPr>
        <w:t>Incorrect</w:t>
      </w:r>
      <w:r>
        <w:rPr>
          <w:sz w:val="23"/>
          <w:szCs w:val="23"/>
        </w:rPr>
        <w:t xml:space="preserve"> </w:t>
      </w:r>
      <w:r w:rsidRPr="00990DA2">
        <w:rPr>
          <w:sz w:val="23"/>
          <w:szCs w:val="23"/>
        </w:rPr>
        <w:t xml:space="preserve">handling, processing and storage </w:t>
      </w:r>
      <w:r>
        <w:rPr>
          <w:sz w:val="23"/>
          <w:szCs w:val="23"/>
        </w:rPr>
        <w:t>of linen could, at least in theory, drive the transmission of norovirus. The virus could</w:t>
      </w:r>
      <w:r w:rsidRPr="00990DA2">
        <w:rPr>
          <w:sz w:val="23"/>
          <w:szCs w:val="23"/>
        </w:rPr>
        <w:t xml:space="preserve"> be</w:t>
      </w:r>
      <w:r>
        <w:rPr>
          <w:sz w:val="23"/>
          <w:szCs w:val="23"/>
        </w:rPr>
        <w:t xml:space="preserve"> </w:t>
      </w:r>
      <w:r w:rsidRPr="00990DA2">
        <w:rPr>
          <w:sz w:val="23"/>
          <w:szCs w:val="23"/>
        </w:rPr>
        <w:t xml:space="preserve">transferred </w:t>
      </w:r>
      <w:r w:rsidR="009462DF">
        <w:rPr>
          <w:sz w:val="23"/>
          <w:szCs w:val="23"/>
        </w:rPr>
        <w:t>t</w:t>
      </w:r>
      <w:r>
        <w:rPr>
          <w:sz w:val="23"/>
          <w:szCs w:val="23"/>
        </w:rPr>
        <w:t xml:space="preserve">o uncontaminated items or staff hands when linen is soiled and there is some concern that the virus could be incompletely removed or inactivated during the process of washing. If this does occur, items which were washed or stored with soiled linen could also become contaminated. Laundry is typically managed and segregated to avoid any potential risk of infection and the guidance on </w:t>
      </w:r>
      <w:r>
        <w:rPr>
          <w:sz w:val="23"/>
          <w:szCs w:val="23"/>
        </w:rPr>
        <w:lastRenderedPageBreak/>
        <w:t>how linen should be handled is available.</w:t>
      </w:r>
      <w:r w:rsidR="002250AE">
        <w:rPr>
          <w:sz w:val="23"/>
          <w:szCs w:val="23"/>
          <w:vertAlign w:val="superscript"/>
        </w:rPr>
        <w:t>267</w:t>
      </w:r>
      <w:r>
        <w:rPr>
          <w:sz w:val="23"/>
          <w:szCs w:val="23"/>
        </w:rPr>
        <w:t xml:space="preserve"> Previous guid</w:t>
      </w:r>
      <w:r w:rsidR="00AC0F9C">
        <w:rPr>
          <w:sz w:val="23"/>
          <w:szCs w:val="23"/>
        </w:rPr>
        <w:t>elines</w:t>
      </w:r>
      <w:r w:rsidR="00AC0F9C" w:rsidRPr="00AC0F9C">
        <w:rPr>
          <w:vertAlign w:val="superscript"/>
        </w:rPr>
        <w:t>1</w:t>
      </w:r>
      <w:r>
        <w:rPr>
          <w:sz w:val="23"/>
          <w:szCs w:val="23"/>
        </w:rPr>
        <w:t xml:space="preserve"> did not make any specific recommendations based on the evidence but stated that </w:t>
      </w:r>
      <w:r w:rsidR="00242A0F">
        <w:rPr>
          <w:sz w:val="23"/>
          <w:szCs w:val="23"/>
        </w:rPr>
        <w:t xml:space="preserve">the </w:t>
      </w:r>
      <w:r w:rsidR="00364DC7">
        <w:rPr>
          <w:sz w:val="23"/>
          <w:szCs w:val="23"/>
        </w:rPr>
        <w:t xml:space="preserve">relevant </w:t>
      </w:r>
      <w:r>
        <w:rPr>
          <w:sz w:val="23"/>
          <w:szCs w:val="23"/>
        </w:rPr>
        <w:t xml:space="preserve">HTM document should be followed for advice on laundry. This document however does not mention whether enhanced control measures are required during norovirus outbreaks. </w:t>
      </w:r>
    </w:p>
    <w:p w14:paraId="5E5B083F" w14:textId="507F296D" w:rsidR="00E87A11" w:rsidRDefault="00E87A11" w:rsidP="00CF7116">
      <w:pPr>
        <w:spacing w:before="240" w:line="276" w:lineRule="auto"/>
      </w:pPr>
      <w:r w:rsidRPr="0095272F">
        <w:t xml:space="preserve">There was </w:t>
      </w:r>
      <w:r w:rsidRPr="00990DA2">
        <w:t>weak evidence</w:t>
      </w:r>
      <w:r>
        <w:t xml:space="preserve"> of benefit from one cross-sectional study</w:t>
      </w:r>
      <w:r w:rsidR="002250AE">
        <w:rPr>
          <w:vertAlign w:val="superscript"/>
        </w:rPr>
        <w:t>21</w:t>
      </w:r>
      <w:r>
        <w:t xml:space="preserve"> and two outbreak studies</w:t>
      </w:r>
      <w:r w:rsidR="002250AE">
        <w:rPr>
          <w:vertAlign w:val="superscript"/>
        </w:rPr>
        <w:t>19</w:t>
      </w:r>
      <w:r w:rsidRPr="00990DA2">
        <w:rPr>
          <w:vertAlign w:val="superscript"/>
        </w:rPr>
        <w:t>,3</w:t>
      </w:r>
      <w:r w:rsidR="002250AE">
        <w:rPr>
          <w:vertAlign w:val="superscript"/>
        </w:rPr>
        <w:t>0</w:t>
      </w:r>
      <w:r w:rsidRPr="009A2010">
        <w:t xml:space="preserve"> </w:t>
      </w:r>
      <w:r>
        <w:t>which assessed the effect of how laundry was handled during norovirus outbreaks in healthcare settings. One cross-sectional study</w:t>
      </w:r>
      <w:r w:rsidR="002250AE">
        <w:rPr>
          <w:vertAlign w:val="superscript"/>
        </w:rPr>
        <w:t>21</w:t>
      </w:r>
      <w:r>
        <w:t xml:space="preserve"> reported that the risk of acquiring an infection was lower for the residents who were in nursing homes with a policy to carefully close the laundry bags during norovirus outbreaks, than in the residents who were in nursing homes without this policy in place (OR 0.65 [CI95% 0.45-0.92]), although this risk was not lower for the staff (OR 0.71 [CI 95% 0.50-1.00]). One outbreak study</w:t>
      </w:r>
      <w:r w:rsidR="002250AE">
        <w:rPr>
          <w:vertAlign w:val="superscript"/>
        </w:rPr>
        <w:t>19</w:t>
      </w:r>
      <w:r>
        <w:t xml:space="preserve"> described two outbreaks in the same institution and reported that enhanced control measures</w:t>
      </w:r>
      <w:r w:rsidRPr="00187027">
        <w:t xml:space="preserve"> </w:t>
      </w:r>
      <w:r>
        <w:t>were introduced in the second outbreak, which among others included t</w:t>
      </w:r>
      <w:r w:rsidRPr="00187027">
        <w:t>ak</w:t>
      </w:r>
      <w:r>
        <w:t>ing</w:t>
      </w:r>
      <w:r w:rsidRPr="00187027">
        <w:t xml:space="preserve"> linen carrier</w:t>
      </w:r>
      <w:r>
        <w:t>s</w:t>
      </w:r>
      <w:r w:rsidRPr="00187027">
        <w:t xml:space="preserve"> to the bedside, </w:t>
      </w:r>
      <w:r>
        <w:t xml:space="preserve">using </w:t>
      </w:r>
      <w:r w:rsidRPr="00187027">
        <w:t xml:space="preserve">hot water-soluble bags for handling contaminated linen, </w:t>
      </w:r>
      <w:r>
        <w:t xml:space="preserve">and using </w:t>
      </w:r>
      <w:r w:rsidRPr="00187027">
        <w:t xml:space="preserve">labels </w:t>
      </w:r>
      <w:r>
        <w:t>for identifying</w:t>
      </w:r>
      <w:r w:rsidRPr="00187027">
        <w:t xml:space="preserve"> contaminated linen bags</w:t>
      </w:r>
      <w:r>
        <w:t>. The study reported that</w:t>
      </w:r>
      <w:r w:rsidRPr="00187027">
        <w:t xml:space="preserve"> </w:t>
      </w:r>
      <w:r>
        <w:t>despite the similar duration and the number of patients affected, there were less staff affected in the second outbreak and the ward was able to open earlier than in the first. The second outbreak study,</w:t>
      </w:r>
      <w:r w:rsidR="002250AE">
        <w:rPr>
          <w:vertAlign w:val="superscript"/>
        </w:rPr>
        <w:t>30</w:t>
      </w:r>
      <w:r>
        <w:t xml:space="preserve"> which affected 92 cases and lasted </w:t>
      </w:r>
      <w:r w:rsidR="00990DA2">
        <w:t xml:space="preserve">for </w:t>
      </w:r>
      <w:r>
        <w:t xml:space="preserve">24 days (all in units caring for </w:t>
      </w:r>
      <w:r w:rsidR="00990DA2">
        <w:t>older</w:t>
      </w:r>
      <w:r>
        <w:t xml:space="preserve"> patients), reported that the introduced interventions did not seem to have the effect on the outbreak course for the affected four units (51 cases and 16 days after introduction of the interventions) but that the outbreak </w:t>
      </w:r>
      <w:r w:rsidR="00990DA2">
        <w:t xml:space="preserve">did </w:t>
      </w:r>
      <w:r>
        <w:t xml:space="preserve">not spread to other areas </w:t>
      </w:r>
      <w:r w:rsidR="00990DA2">
        <w:t>of</w:t>
      </w:r>
      <w:r>
        <w:t xml:space="preserve"> the hospital. </w:t>
      </w:r>
    </w:p>
    <w:p w14:paraId="65584C33" w14:textId="39652226" w:rsidR="00E87A11" w:rsidRDefault="00E87A11" w:rsidP="00CF7116">
      <w:pPr>
        <w:spacing w:before="240" w:line="276" w:lineRule="auto"/>
      </w:pPr>
      <w:r w:rsidRPr="0095272F">
        <w:t xml:space="preserve">There was </w:t>
      </w:r>
      <w:r w:rsidRPr="00990DA2">
        <w:t>very weak evidence</w:t>
      </w:r>
      <w:r>
        <w:t xml:space="preserve"> of benefit from </w:t>
      </w:r>
      <w:r w:rsidR="00990DA2">
        <w:t xml:space="preserve">one </w:t>
      </w:r>
      <w:r>
        <w:t>outbreak study</w:t>
      </w:r>
      <w:r w:rsidR="00990DA2">
        <w:t>,</w:t>
      </w:r>
      <w:r w:rsidRPr="00990DA2">
        <w:rPr>
          <w:vertAlign w:val="superscript"/>
        </w:rPr>
        <w:t>4</w:t>
      </w:r>
      <w:r w:rsidR="002250AE">
        <w:rPr>
          <w:vertAlign w:val="superscript"/>
        </w:rPr>
        <w:t>4</w:t>
      </w:r>
      <w:r w:rsidRPr="009A2010">
        <w:t xml:space="preserve"> </w:t>
      </w:r>
      <w:r>
        <w:t xml:space="preserve">which assessed the effect of how laundry was handled during </w:t>
      </w:r>
      <w:r w:rsidR="00990DA2">
        <w:t xml:space="preserve">a </w:t>
      </w:r>
      <w:r>
        <w:t>norovirus outbreak outside</w:t>
      </w:r>
      <w:r w:rsidR="00990DA2">
        <w:t xml:space="preserve"> </w:t>
      </w:r>
      <w:r w:rsidR="00242A0F">
        <w:t>a</w:t>
      </w:r>
      <w:r>
        <w:t xml:space="preserve"> healthcare setting</w:t>
      </w:r>
      <w:r w:rsidR="00242A0F">
        <w:t>.</w:t>
      </w:r>
      <w:r>
        <w:t xml:space="preserve"> This study described a large outbreak in a hotel affecting 98 cases (wedding guests, staff and hotel guests) lasting five days. The authors reported that, among other interventions, all laundry was washed at </w:t>
      </w:r>
      <w:r w:rsidR="00242A0F">
        <w:t>a</w:t>
      </w:r>
      <w:r>
        <w:t xml:space="preserve"> temperature of at least 60</w:t>
      </w:r>
      <w:r w:rsidRPr="00990DA2">
        <w:rPr>
          <w:rFonts w:cstheme="minorHAnsi"/>
        </w:rPr>
        <w:t>°</w:t>
      </w:r>
      <w:r>
        <w:t xml:space="preserve">C and that these interventions resulted </w:t>
      </w:r>
      <w:r w:rsidR="00990DA2">
        <w:t>in the</w:t>
      </w:r>
      <w:r>
        <w:t xml:space="preserve"> outbreak being contained</w:t>
      </w:r>
      <w:r w:rsidR="00990DA2">
        <w:t>,</w:t>
      </w:r>
      <w:r>
        <w:t xml:space="preserve"> with only three further cases occurring the following day. </w:t>
      </w:r>
    </w:p>
    <w:p w14:paraId="07702F46" w14:textId="3D3F35D8" w:rsidR="00E87A11" w:rsidRPr="00990DA2" w:rsidRDefault="00E87A11" w:rsidP="00CF7116">
      <w:pPr>
        <w:spacing w:before="240" w:line="276" w:lineRule="auto"/>
        <w:rPr>
          <w:rFonts w:cstheme="minorHAnsi"/>
        </w:rPr>
      </w:pPr>
      <w:r w:rsidRPr="00990DA2">
        <w:rPr>
          <w:rFonts w:cstheme="minorHAnsi"/>
        </w:rPr>
        <w:t xml:space="preserve">No studies were found in the existing </w:t>
      </w:r>
      <w:r w:rsidR="00FE349B" w:rsidRPr="00990DA2">
        <w:rPr>
          <w:rFonts w:cstheme="minorHAnsi"/>
        </w:rPr>
        <w:t>literature that</w:t>
      </w:r>
      <w:r w:rsidRPr="00990DA2">
        <w:rPr>
          <w:rFonts w:cstheme="minorHAnsi"/>
        </w:rPr>
        <w:t xml:space="preserve"> assessed the effect of how laundry was handled on cost during norovirus outbreaks in any setting. </w:t>
      </w:r>
    </w:p>
    <w:p w14:paraId="75D255BC" w14:textId="41572A0D" w:rsidR="00E87A11" w:rsidRPr="009462DF" w:rsidRDefault="009462DF" w:rsidP="00CF7116">
      <w:pPr>
        <w:spacing w:before="240" w:line="276" w:lineRule="auto"/>
        <w:rPr>
          <w:rFonts w:cstheme="minorHAnsi"/>
          <w:i/>
          <w:iCs/>
        </w:rPr>
      </w:pPr>
      <w:r w:rsidRPr="009462DF">
        <w:rPr>
          <w:rFonts w:cstheme="minorHAnsi"/>
          <w:i/>
          <w:iCs/>
        </w:rPr>
        <w:t>The Working Party agreed that</w:t>
      </w:r>
      <w:r>
        <w:rPr>
          <w:rFonts w:cstheme="minorHAnsi"/>
          <w:i/>
          <w:iCs/>
        </w:rPr>
        <w:t xml:space="preserve"> despite little evidence, laundry is an important part of IPC. Based on the available literature, no recommendations can be made, but the Working Party agreed that all facilities need to follow current </w:t>
      </w:r>
      <w:r w:rsidR="009664CB">
        <w:rPr>
          <w:rFonts w:cstheme="minorHAnsi"/>
          <w:i/>
          <w:iCs/>
        </w:rPr>
        <w:t xml:space="preserve">national </w:t>
      </w:r>
      <w:r>
        <w:rPr>
          <w:rFonts w:cstheme="minorHAnsi"/>
          <w:i/>
          <w:iCs/>
        </w:rPr>
        <w:t>guidelines for how laundry should be handled</w:t>
      </w:r>
      <w:r w:rsidR="009664CB">
        <w:rPr>
          <w:rFonts w:cstheme="minorHAnsi"/>
          <w:i/>
          <w:iCs/>
        </w:rPr>
        <w:t xml:space="preserve"> and made no recommendations specific to norovirus</w:t>
      </w:r>
      <w:r>
        <w:rPr>
          <w:rFonts w:cstheme="minorHAnsi"/>
          <w:i/>
          <w:iCs/>
        </w:rPr>
        <w:t>.</w:t>
      </w:r>
      <w:r w:rsidR="009664CB">
        <w:rPr>
          <w:rFonts w:cstheme="minorHAnsi"/>
          <w:i/>
          <w:iCs/>
        </w:rPr>
        <w:t xml:space="preserve"> </w:t>
      </w:r>
    </w:p>
    <w:p w14:paraId="21300E2D" w14:textId="264DB30C" w:rsidR="00E87A11" w:rsidRPr="006245E4" w:rsidRDefault="00E87A11" w:rsidP="00CF7116">
      <w:pPr>
        <w:spacing w:line="276" w:lineRule="auto"/>
        <w:rPr>
          <w:b/>
          <w:bCs/>
        </w:rPr>
      </w:pPr>
      <w:r w:rsidRPr="006245E4">
        <w:rPr>
          <w:b/>
          <w:bCs/>
        </w:rPr>
        <w:t>Recommendations:</w:t>
      </w:r>
    </w:p>
    <w:p w14:paraId="4B9C9802" w14:textId="2814A981" w:rsidR="00E87A11" w:rsidRPr="00DC6740" w:rsidRDefault="00603742" w:rsidP="00CF7116">
      <w:pPr>
        <w:spacing w:before="240" w:line="276" w:lineRule="auto"/>
      </w:pPr>
      <w:r w:rsidRPr="00603742">
        <w:rPr>
          <w:b/>
          <w:bCs/>
        </w:rPr>
        <w:t>23.1:</w:t>
      </w:r>
      <w:r>
        <w:t xml:space="preserve"> </w:t>
      </w:r>
      <w:r w:rsidR="00E87A11">
        <w:t>No</w:t>
      </w:r>
      <w:r>
        <w:t xml:space="preserve"> recommendation</w:t>
      </w:r>
    </w:p>
    <w:p w14:paraId="51805F64" w14:textId="77777777" w:rsidR="00E87A11" w:rsidRPr="006245E4" w:rsidRDefault="00E87A11" w:rsidP="00CF7116">
      <w:pPr>
        <w:spacing w:line="276" w:lineRule="auto"/>
        <w:rPr>
          <w:b/>
          <w:bCs/>
        </w:rPr>
      </w:pPr>
      <w:r w:rsidRPr="006245E4">
        <w:rPr>
          <w:b/>
          <w:bCs/>
        </w:rPr>
        <w:t>Good practice points:</w:t>
      </w:r>
    </w:p>
    <w:p w14:paraId="39A56685" w14:textId="0C420999" w:rsidR="00E87A11" w:rsidRDefault="009462DF" w:rsidP="00CF7116">
      <w:pPr>
        <w:spacing w:before="240" w:line="276" w:lineRule="auto"/>
      </w:pPr>
      <w:r w:rsidRPr="009462DF">
        <w:rPr>
          <w:b/>
          <w:bCs/>
        </w:rPr>
        <w:t>GPP 23.1:</w:t>
      </w:r>
      <w:r>
        <w:t xml:space="preserve"> Ensure that that all laundry is h</w:t>
      </w:r>
      <w:r w:rsidR="00E87A11">
        <w:t>andled and segregated according to national guidance</w:t>
      </w:r>
      <w:r w:rsidR="009664CB">
        <w:t xml:space="preserve">. </w:t>
      </w:r>
    </w:p>
    <w:p w14:paraId="12D41B97" w14:textId="77777777" w:rsidR="00E87A11" w:rsidRPr="00E87A11" w:rsidRDefault="00E87A11" w:rsidP="00CF7116">
      <w:pPr>
        <w:spacing w:before="240" w:line="276" w:lineRule="auto"/>
        <w:rPr>
          <w:i/>
          <w:iCs/>
          <w:color w:val="1F497D"/>
        </w:rPr>
      </w:pPr>
    </w:p>
    <w:p w14:paraId="171DAA84" w14:textId="69ADA80C" w:rsidR="00E758C0" w:rsidRDefault="00E758C0" w:rsidP="00CF7116">
      <w:pPr>
        <w:pStyle w:val="Heading2"/>
        <w:spacing w:before="240" w:after="160" w:line="276" w:lineRule="auto"/>
      </w:pPr>
      <w:r>
        <w:lastRenderedPageBreak/>
        <w:t>8.24</w:t>
      </w:r>
      <w:r w:rsidRPr="00E758C0">
        <w:tab/>
      </w:r>
      <w:bookmarkStart w:id="25" w:name="_Hlk110263089"/>
      <w:r w:rsidRPr="00E758C0">
        <w:t>What is the clinical and cost-effectiveness of excluding from work the staff affected by norovirus? When should these staff be allowed to return to work and how should their return be managed to ensure patient safety?</w:t>
      </w:r>
      <w:bookmarkEnd w:id="25"/>
    </w:p>
    <w:p w14:paraId="7241DCCC" w14:textId="63D386D4" w:rsidR="000E41A6" w:rsidRDefault="000E41A6" w:rsidP="00CF7116">
      <w:pPr>
        <w:spacing w:before="240" w:line="276" w:lineRule="auto"/>
      </w:pPr>
      <w:r w:rsidRPr="000E41A6">
        <w:t xml:space="preserve">Staff often provide care for a number of patients and move between different patient environments, meaning they can act as sources of norovirus transmission. Ongoing, although reduced, viral excretion beyond the acute phase means that </w:t>
      </w:r>
      <w:r>
        <w:t xml:space="preserve">the staff members who return too early may infect others. </w:t>
      </w:r>
      <w:r w:rsidRPr="000E41A6">
        <w:t>In order to reduce the risk of transmission of norovirus, previous guidelines</w:t>
      </w:r>
      <w:r w:rsidR="00AC0F9C" w:rsidRPr="00AC0F9C">
        <w:rPr>
          <w:vertAlign w:val="superscript"/>
        </w:rPr>
        <w:t>1</w:t>
      </w:r>
      <w:r w:rsidRPr="000E41A6">
        <w:t xml:space="preserve"> recommended that symptomatic members of staff in health and social care facilities are typically excluded from work until symptom-free</w:t>
      </w:r>
      <w:r>
        <w:t>,</w:t>
      </w:r>
      <w:r w:rsidRPr="000E41A6">
        <w:t xml:space="preserve"> with no loose stools for 48 hours. Due to the high infectivity of norovirus in the acute stage this is an important control strategy</w:t>
      </w:r>
      <w:r>
        <w:t>.</w:t>
      </w:r>
      <w:r w:rsidRPr="000E41A6">
        <w:t xml:space="preserve"> </w:t>
      </w:r>
      <w:r>
        <w:t>However, exclusions</w:t>
      </w:r>
      <w:r w:rsidRPr="000E41A6">
        <w:t xml:space="preserve"> may place additional burden on remaining staff and potentially </w:t>
      </w:r>
      <w:r>
        <w:t xml:space="preserve">increase the </w:t>
      </w:r>
      <w:r w:rsidRPr="000E41A6">
        <w:t xml:space="preserve">risks associated with reduced staffing. </w:t>
      </w:r>
    </w:p>
    <w:p w14:paraId="3AD99057" w14:textId="5F1D6BC5" w:rsidR="00E87A11" w:rsidRDefault="00E87A11" w:rsidP="00CF7116">
      <w:pPr>
        <w:spacing w:before="240" w:line="276" w:lineRule="auto"/>
      </w:pPr>
      <w:r w:rsidRPr="0095272F">
        <w:t xml:space="preserve">There was </w:t>
      </w:r>
      <w:r w:rsidRPr="00F9390D">
        <w:t xml:space="preserve">weak </w:t>
      </w:r>
      <w:r w:rsidRPr="00B15BBD">
        <w:t>evidence</w:t>
      </w:r>
      <w:r>
        <w:t xml:space="preserve"> from one case control study</w:t>
      </w:r>
      <w:r w:rsidR="000A51D6">
        <w:rPr>
          <w:vertAlign w:val="superscript"/>
        </w:rPr>
        <w:t>127</w:t>
      </w:r>
      <w:r>
        <w:t xml:space="preserve"> which investigated the effect of exclusion policies for staff on the risk of norovirus outbreaks in healthcare settings. The study, which was undertaken in LTCFs</w:t>
      </w:r>
      <w:r w:rsidR="005D7997">
        <w:t>,</w:t>
      </w:r>
      <w:r>
        <w:t xml:space="preserve"> reported that the risk of experiencing a norovirus outbreak was not significantly different in facilities which had no exclusion policy compared to those which did not (RR </w:t>
      </w:r>
      <w:r w:rsidRPr="00723022">
        <w:t>0.26 [</w:t>
      </w:r>
      <w:r>
        <w:t xml:space="preserve">CI95% </w:t>
      </w:r>
      <w:r w:rsidRPr="00723022">
        <w:t>0.04-1.66]</w:t>
      </w:r>
      <w:r>
        <w:t>). There was also no difference when compari</w:t>
      </w:r>
      <w:r w:rsidR="005D7997">
        <w:t xml:space="preserve">ng </w:t>
      </w:r>
      <w:r>
        <w:t>facilities which offered paid sick leave for staff and those which did not (</w:t>
      </w:r>
      <w:r w:rsidRPr="00723022">
        <w:t>3.32 [</w:t>
      </w:r>
      <w:r>
        <w:t xml:space="preserve">RR CI95% </w:t>
      </w:r>
      <w:r w:rsidRPr="00723022">
        <w:t>0.90-12.22]</w:t>
      </w:r>
      <w:r>
        <w:t xml:space="preserve">). </w:t>
      </w:r>
    </w:p>
    <w:p w14:paraId="47833A6A" w14:textId="56A72673" w:rsidR="00E87A11" w:rsidRDefault="00E87A11" w:rsidP="00CF7116">
      <w:pPr>
        <w:spacing w:before="240" w:line="276" w:lineRule="auto"/>
      </w:pPr>
      <w:r w:rsidRPr="0095272F">
        <w:t xml:space="preserve">There was </w:t>
      </w:r>
      <w:r w:rsidRPr="00F9390D">
        <w:t xml:space="preserve">inconsistent </w:t>
      </w:r>
      <w:r w:rsidRPr="00B15BBD">
        <w:t>evidence</w:t>
      </w:r>
      <w:r>
        <w:t xml:space="preserve"> from one cross-sectional study</w:t>
      </w:r>
      <w:r w:rsidR="000A51D6">
        <w:rPr>
          <w:vertAlign w:val="superscript"/>
        </w:rPr>
        <w:t>21</w:t>
      </w:r>
      <w:r>
        <w:t xml:space="preserve"> and two outbreak studies</w:t>
      </w:r>
      <w:r w:rsidR="000A51D6">
        <w:t>,</w:t>
      </w:r>
      <w:r w:rsidR="000A51D6">
        <w:rPr>
          <w:vertAlign w:val="superscript"/>
        </w:rPr>
        <w:t xml:space="preserve">34,114 </w:t>
      </w:r>
      <w:r>
        <w:t>which reported excluding symptomatic staff working in healthcare settings until their symptoms resolved. The cross sectional study</w:t>
      </w:r>
      <w:r w:rsidR="000A51D6">
        <w:rPr>
          <w:vertAlign w:val="superscript"/>
        </w:rPr>
        <w:t>21</w:t>
      </w:r>
      <w:r>
        <w:t xml:space="preserve"> reported that this exclusion policy implemented in nursing homes had a positive effect on the incidence of norovirus infection in the residents (OR </w:t>
      </w:r>
      <w:r w:rsidRPr="00723022">
        <w:t xml:space="preserve">0.60 </w:t>
      </w:r>
      <w:r>
        <w:t xml:space="preserve">[CI95% </w:t>
      </w:r>
      <w:r w:rsidRPr="00723022">
        <w:t>0.39–0.92</w:t>
      </w:r>
      <w:r>
        <w:t>], p-value not reported</w:t>
      </w:r>
      <w:r w:rsidRPr="00723022">
        <w:t>)</w:t>
      </w:r>
      <w:r>
        <w:t xml:space="preserve"> but not in staff (OR </w:t>
      </w:r>
      <w:r w:rsidRPr="00723022">
        <w:t xml:space="preserve">2.42 </w:t>
      </w:r>
      <w:r>
        <w:t xml:space="preserve">[CI95% </w:t>
      </w:r>
      <w:r w:rsidRPr="00723022">
        <w:t>1.45–4.04</w:t>
      </w:r>
      <w:r>
        <w:t>], p-value not reported</w:t>
      </w:r>
      <w:r w:rsidRPr="00723022">
        <w:t>)</w:t>
      </w:r>
      <w:r>
        <w:t>. From the two outbreak studies which introduced this policy, one</w:t>
      </w:r>
      <w:r w:rsidR="000A51D6">
        <w:rPr>
          <w:vertAlign w:val="superscript"/>
        </w:rPr>
        <w:t>34</w:t>
      </w:r>
      <w:r>
        <w:t xml:space="preserve"> reported the benefit of excluding staff until their symptoms resolved. This outbreak, which occurred in </w:t>
      </w:r>
      <w:r w:rsidR="00F9390D">
        <w:t xml:space="preserve">a </w:t>
      </w:r>
      <w:r>
        <w:t xml:space="preserve">nursing home, involved 51 cases and lasted nine days. Following the introduction of control measures, which included policies for symptomatic staff to be excluded from work, the outbreak lasted </w:t>
      </w:r>
      <w:r w:rsidR="00F9390D">
        <w:t xml:space="preserve">for a </w:t>
      </w:r>
      <w:r>
        <w:t>further seven days and affected 37 cases, although the authors stated that the rate at which the cases occurred ha</w:t>
      </w:r>
      <w:r w:rsidR="005D7997">
        <w:t>d</w:t>
      </w:r>
      <w:r>
        <w:t xml:space="preserve"> slowed. The study which did not show </w:t>
      </w:r>
      <w:r w:rsidR="005D7997">
        <w:t>a</w:t>
      </w:r>
      <w:r>
        <w:t xml:space="preserve"> benefit of excluding staff until they recovered</w:t>
      </w:r>
      <w:r w:rsidR="000A51D6">
        <w:rPr>
          <w:vertAlign w:val="superscript"/>
        </w:rPr>
        <w:t>114</w:t>
      </w:r>
      <w:r>
        <w:t xml:space="preserve"> described a large outbreak in </w:t>
      </w:r>
      <w:r w:rsidR="005D7997">
        <w:t xml:space="preserve">a </w:t>
      </w:r>
      <w:r>
        <w:t xml:space="preserve">hospital. This outbreak affected 97 cases, lasting 29 days and the authors reported that it spread to other units despite the interventions. The studies did not report whether or not a post-symptomatic staff member who returned to work was responsible for infecting others. </w:t>
      </w:r>
    </w:p>
    <w:p w14:paraId="1064C210" w14:textId="6F0C266D" w:rsidR="00E87A11" w:rsidRDefault="00E87A11" w:rsidP="00CF7116">
      <w:pPr>
        <w:spacing w:before="240" w:line="276" w:lineRule="auto"/>
      </w:pPr>
      <w:r w:rsidRPr="0095272F">
        <w:t xml:space="preserve">There was </w:t>
      </w:r>
      <w:r w:rsidRPr="00F9390D">
        <w:t>very weak</w:t>
      </w:r>
      <w:r w:rsidRPr="00B15BBD">
        <w:t xml:space="preserve"> evidence</w:t>
      </w:r>
      <w:r>
        <w:t xml:space="preserve"> from one outbreak study</w:t>
      </w:r>
      <w:r w:rsidR="000A51D6">
        <w:rPr>
          <w:vertAlign w:val="superscript"/>
        </w:rPr>
        <w:t>37</w:t>
      </w:r>
      <w:r>
        <w:t xml:space="preserve"> which reported excluding symptomatic staff working in healthcare settings for 24 hours until their symptoms resolved. This outbreak affected 14 cases and lasted 23 days. The authors reported that </w:t>
      </w:r>
      <w:r w:rsidR="00F9390D">
        <w:t xml:space="preserve">a </w:t>
      </w:r>
      <w:r>
        <w:t xml:space="preserve">staff exclusion policy, together with other implemented control measures was beneficial. It was reported that </w:t>
      </w:r>
      <w:r w:rsidR="00F9390D">
        <w:t xml:space="preserve">four </w:t>
      </w:r>
      <w:r>
        <w:t>further cases becom</w:t>
      </w:r>
      <w:r w:rsidR="00F9390D">
        <w:t>e</w:t>
      </w:r>
      <w:r>
        <w:t xml:space="preserve"> infected and </w:t>
      </w:r>
      <w:r w:rsidR="00F9390D">
        <w:t xml:space="preserve">the </w:t>
      </w:r>
      <w:r>
        <w:t xml:space="preserve">outbreak ended soon after control measures were in place, although they also stated that they had at least two chronically infected </w:t>
      </w:r>
      <w:r w:rsidR="00F9390D">
        <w:t xml:space="preserve">individuals </w:t>
      </w:r>
      <w:r>
        <w:t>who continued to shed the virus for a prolonged period of time. The study did not report whether or not a post-symptomatic staff member who returned to work was responsible for infecting others.</w:t>
      </w:r>
    </w:p>
    <w:p w14:paraId="04759338" w14:textId="66D2D050" w:rsidR="00E87A11" w:rsidRDefault="00E87A11" w:rsidP="00CF7116">
      <w:pPr>
        <w:spacing w:before="240" w:line="276" w:lineRule="auto"/>
      </w:pPr>
      <w:r w:rsidRPr="0095272F">
        <w:lastRenderedPageBreak/>
        <w:t xml:space="preserve">There was </w:t>
      </w:r>
      <w:r w:rsidRPr="00F9390D">
        <w:t xml:space="preserve">moderate </w:t>
      </w:r>
      <w:r w:rsidRPr="00B15BBD">
        <w:t>evidence</w:t>
      </w:r>
      <w:r>
        <w:t xml:space="preserve"> from one cross-sectional study</w:t>
      </w:r>
      <w:r w:rsidR="000A51D6">
        <w:rPr>
          <w:vertAlign w:val="superscript"/>
        </w:rPr>
        <w:t>21</w:t>
      </w:r>
      <w:r>
        <w:t xml:space="preserve"> and 18 outbreak studies</w:t>
      </w:r>
      <w:r w:rsidR="000A51D6">
        <w:t>,</w:t>
      </w:r>
      <w:r w:rsidR="000A51D6" w:rsidRPr="000A51D6">
        <w:rPr>
          <w:vertAlign w:val="superscript"/>
        </w:rPr>
        <w:t>14,19,20,29-33,39,40,55,57,108,111,113,125,146,268</w:t>
      </w:r>
      <w:r>
        <w:t xml:space="preserve"> which reported excluding symptomatic staff working in healthcare settings for 48 hours until their symptoms resolved. The cross-sectional study</w:t>
      </w:r>
      <w:r w:rsidR="000A51D6">
        <w:rPr>
          <w:vertAlign w:val="superscript"/>
        </w:rPr>
        <w:t>21</w:t>
      </w:r>
      <w:r>
        <w:t xml:space="preserve"> reported that this exclusion policy implemented in nursing homes had a positive effect on the incidence of norovirus infection in the residents (OR </w:t>
      </w:r>
      <w:r w:rsidRPr="006805A0">
        <w:t xml:space="preserve">0.43 </w:t>
      </w:r>
      <w:r>
        <w:t xml:space="preserve">[CI95% </w:t>
      </w:r>
      <w:r w:rsidRPr="006805A0">
        <w:t>0.28–0.67</w:t>
      </w:r>
      <w:r>
        <w:t>], p-value not reported</w:t>
      </w:r>
      <w:r w:rsidRPr="00723022">
        <w:t>)</w:t>
      </w:r>
      <w:r>
        <w:t xml:space="preserve"> but not in staff (OR </w:t>
      </w:r>
      <w:r w:rsidRPr="006805A0">
        <w:t xml:space="preserve">1.48 </w:t>
      </w:r>
      <w:r>
        <w:t xml:space="preserve">[CI95% </w:t>
      </w:r>
      <w:r w:rsidRPr="006805A0">
        <w:t>0.88–2.50</w:t>
      </w:r>
      <w:r>
        <w:t>], p-value not reported</w:t>
      </w:r>
      <w:r w:rsidRPr="00723022">
        <w:t>)</w:t>
      </w:r>
      <w:r>
        <w:t>. The 18 outbreak studies</w:t>
      </w:r>
      <w:r w:rsidR="000A51D6" w:rsidRPr="000A51D6">
        <w:rPr>
          <w:vertAlign w:val="superscript"/>
        </w:rPr>
        <w:t>14,19,20,29-33,39,40,55,57,108,111,113,125,146,268</w:t>
      </w:r>
      <w:r>
        <w:t xml:space="preserve"> described a total of 22 outbreaks which affected from 14 to 281 cases (median 62) lasting between three and 54 days (median 15 days, based on 15 studies reporting 19 outbreaks</w:t>
      </w:r>
      <w:r w:rsidR="000A51D6" w:rsidRPr="000A51D6">
        <w:rPr>
          <w:vertAlign w:val="superscript"/>
        </w:rPr>
        <w:t>14,19,20,29-33,39,40,55,57,108,111,125</w:t>
      </w:r>
      <w:r w:rsidRPr="006805A0">
        <w:rPr>
          <w:rFonts w:eastAsia="Times New Roman" w:cstheme="minorHAnsi"/>
          <w:color w:val="000000"/>
          <w:lang w:eastAsia="en-GB"/>
        </w:rPr>
        <w:t>)</w:t>
      </w:r>
      <w:r>
        <w:rPr>
          <w:rFonts w:eastAsia="Times New Roman" w:cstheme="minorHAnsi"/>
          <w:color w:val="000000"/>
          <w:lang w:eastAsia="en-GB"/>
        </w:rPr>
        <w:t>. Eleven of these studies (61%) reported a benefit of using staff exclusion for 48 hours after symptoms as a part of control measures. Of the studies which did not, none explicitly stated that 48-hour period was not sufficient. Two of these studies reported that further control measures were required,</w:t>
      </w:r>
      <w:r w:rsidR="000A51D6">
        <w:rPr>
          <w:rFonts w:eastAsia="Times New Roman" w:cstheme="minorHAnsi"/>
          <w:color w:val="000000"/>
          <w:vertAlign w:val="superscript"/>
          <w:lang w:eastAsia="en-GB"/>
        </w:rPr>
        <w:t>31,33</w:t>
      </w:r>
      <w:r>
        <w:rPr>
          <w:rFonts w:eastAsia="Times New Roman" w:cstheme="minorHAnsi"/>
          <w:color w:val="000000"/>
          <w:lang w:eastAsia="en-GB"/>
        </w:rPr>
        <w:t xml:space="preserve"> one mentioned that the interventions did not seem to have an effect on the course of </w:t>
      </w:r>
      <w:r w:rsidR="005D7997">
        <w:rPr>
          <w:rFonts w:eastAsia="Times New Roman" w:cstheme="minorHAnsi"/>
          <w:color w:val="000000"/>
          <w:lang w:eastAsia="en-GB"/>
        </w:rPr>
        <w:t>the</w:t>
      </w:r>
      <w:r>
        <w:rPr>
          <w:rFonts w:eastAsia="Times New Roman" w:cstheme="minorHAnsi"/>
          <w:color w:val="000000"/>
          <w:lang w:eastAsia="en-GB"/>
        </w:rPr>
        <w:t xml:space="preserve"> outbreak but might have prevented the spread of an outbreak to other units,</w:t>
      </w:r>
      <w:r w:rsidR="000A51D6">
        <w:rPr>
          <w:rFonts w:eastAsia="Times New Roman" w:cstheme="minorHAnsi"/>
          <w:color w:val="000000"/>
          <w:vertAlign w:val="superscript"/>
          <w:lang w:eastAsia="en-GB"/>
        </w:rPr>
        <w:t>30</w:t>
      </w:r>
      <w:r>
        <w:rPr>
          <w:rFonts w:eastAsia="Times New Roman" w:cstheme="minorHAnsi"/>
          <w:color w:val="000000"/>
          <w:lang w:eastAsia="en-GB"/>
        </w:rPr>
        <w:t xml:space="preserve"> one stated that new cases occurred despite two groups of patients having no contact with each other,</w:t>
      </w:r>
      <w:r w:rsidR="000A51D6">
        <w:rPr>
          <w:rFonts w:eastAsia="Times New Roman" w:cstheme="minorHAnsi"/>
          <w:color w:val="000000"/>
          <w:vertAlign w:val="superscript"/>
          <w:lang w:eastAsia="en-GB"/>
        </w:rPr>
        <w:t>268</w:t>
      </w:r>
      <w:r>
        <w:rPr>
          <w:rFonts w:eastAsia="Times New Roman" w:cstheme="minorHAnsi"/>
          <w:color w:val="000000"/>
          <w:lang w:eastAsia="en-GB"/>
        </w:rPr>
        <w:t xml:space="preserve"> one reported that</w:t>
      </w:r>
      <w:r w:rsidRPr="006805A0">
        <w:rPr>
          <w:rFonts w:eastAsia="Times New Roman" w:cstheme="minorHAnsi"/>
          <w:color w:val="000000"/>
          <w:vertAlign w:val="superscript"/>
          <w:lang w:eastAsia="en-GB"/>
        </w:rPr>
        <w:t>14</w:t>
      </w:r>
      <w:r>
        <w:rPr>
          <w:rFonts w:eastAsia="Times New Roman" w:cstheme="minorHAnsi"/>
          <w:color w:val="000000"/>
          <w:lang w:eastAsia="en-GB"/>
        </w:rPr>
        <w:t xml:space="preserve"> an outbreak continued because of an epidemic in the community and new cases arriving at hospital continuously, and two stat</w:t>
      </w:r>
      <w:r w:rsidR="00F9390D">
        <w:rPr>
          <w:rFonts w:eastAsia="Times New Roman" w:cstheme="minorHAnsi"/>
          <w:color w:val="000000"/>
          <w:lang w:eastAsia="en-GB"/>
        </w:rPr>
        <w:t>ed</w:t>
      </w:r>
      <w:r>
        <w:rPr>
          <w:rFonts w:eastAsia="Times New Roman" w:cstheme="minorHAnsi"/>
          <w:color w:val="000000"/>
          <w:lang w:eastAsia="en-GB"/>
        </w:rPr>
        <w:t xml:space="preserve"> that despite </w:t>
      </w:r>
      <w:r w:rsidR="00F9390D">
        <w:rPr>
          <w:rFonts w:eastAsia="Times New Roman" w:cstheme="minorHAnsi"/>
          <w:color w:val="000000"/>
          <w:lang w:eastAsia="en-GB"/>
        </w:rPr>
        <w:t>having</w:t>
      </w:r>
      <w:r>
        <w:rPr>
          <w:rFonts w:eastAsia="Times New Roman" w:cstheme="minorHAnsi"/>
          <w:color w:val="000000"/>
          <w:lang w:eastAsia="en-GB"/>
        </w:rPr>
        <w:t xml:space="preserve"> policies in place</w:t>
      </w:r>
      <w:r w:rsidR="00F9390D">
        <w:rPr>
          <w:rFonts w:eastAsia="Times New Roman" w:cstheme="minorHAnsi"/>
          <w:color w:val="000000"/>
          <w:lang w:eastAsia="en-GB"/>
        </w:rPr>
        <w:t>,</w:t>
      </w:r>
      <w:r>
        <w:rPr>
          <w:rFonts w:eastAsia="Times New Roman" w:cstheme="minorHAnsi"/>
          <w:color w:val="000000"/>
          <w:lang w:eastAsia="en-GB"/>
        </w:rPr>
        <w:t xml:space="preserve"> staff returned to work before 48 hours after the symptoms.</w:t>
      </w:r>
      <w:r w:rsidR="000A51D6">
        <w:rPr>
          <w:rFonts w:eastAsia="Times New Roman" w:cstheme="minorHAnsi"/>
          <w:color w:val="000000"/>
          <w:vertAlign w:val="superscript"/>
          <w:lang w:eastAsia="en-GB"/>
        </w:rPr>
        <w:t>111,113</w:t>
      </w:r>
      <w:r>
        <w:rPr>
          <w:rFonts w:eastAsia="Times New Roman" w:cstheme="minorHAnsi"/>
          <w:color w:val="000000"/>
          <w:lang w:eastAsia="en-GB"/>
        </w:rPr>
        <w:t xml:space="preserve"> One of the studies</w:t>
      </w:r>
      <w:r w:rsidR="000A51D6">
        <w:rPr>
          <w:rFonts w:eastAsia="Times New Roman" w:cstheme="minorHAnsi"/>
          <w:color w:val="000000"/>
          <w:vertAlign w:val="superscript"/>
          <w:lang w:eastAsia="en-GB"/>
        </w:rPr>
        <w:t>19</w:t>
      </w:r>
      <w:r>
        <w:rPr>
          <w:rFonts w:eastAsia="Times New Roman" w:cstheme="minorHAnsi"/>
          <w:color w:val="000000"/>
          <w:lang w:eastAsia="en-GB"/>
        </w:rPr>
        <w:t xml:space="preserve"> which reported the benefit of this strategy when combined with other control measures also reported that they offered enhanced sick pay to encourage the compliance. However, they did not report whether increasing pay had any effect on compliance. Two studies reported logistic issues when introducing this policy. One study</w:t>
      </w:r>
      <w:r w:rsidRPr="006805A0">
        <w:rPr>
          <w:rFonts w:eastAsia="Times New Roman" w:cstheme="minorHAnsi"/>
          <w:color w:val="000000"/>
          <w:vertAlign w:val="superscript"/>
          <w:lang w:eastAsia="en-GB"/>
        </w:rPr>
        <w:t>1</w:t>
      </w:r>
      <w:r w:rsidR="000A51D6">
        <w:rPr>
          <w:rFonts w:eastAsia="Times New Roman" w:cstheme="minorHAnsi"/>
          <w:color w:val="000000"/>
          <w:vertAlign w:val="superscript"/>
          <w:lang w:eastAsia="en-GB"/>
        </w:rPr>
        <w:t>46</w:t>
      </w:r>
      <w:r>
        <w:rPr>
          <w:rFonts w:eastAsia="Times New Roman" w:cstheme="minorHAnsi"/>
          <w:color w:val="000000"/>
          <w:lang w:eastAsia="en-GB"/>
        </w:rPr>
        <w:t xml:space="preserve"> reported that the nursing staff were easily replaced</w:t>
      </w:r>
      <w:r w:rsidR="00F9390D">
        <w:rPr>
          <w:rFonts w:eastAsia="Times New Roman" w:cstheme="minorHAnsi"/>
          <w:color w:val="000000"/>
          <w:lang w:eastAsia="en-GB"/>
        </w:rPr>
        <w:t>,</w:t>
      </w:r>
      <w:r>
        <w:rPr>
          <w:rFonts w:eastAsia="Times New Roman" w:cstheme="minorHAnsi"/>
          <w:color w:val="000000"/>
          <w:lang w:eastAsia="en-GB"/>
        </w:rPr>
        <w:t xml:space="preserve"> but the medical staff and allied professionals were not, which resulted in problems with staffing levels. Another study</w:t>
      </w:r>
      <w:r w:rsidRPr="006805A0">
        <w:rPr>
          <w:rFonts w:eastAsia="Times New Roman" w:cstheme="minorHAnsi"/>
          <w:color w:val="000000"/>
          <w:vertAlign w:val="superscript"/>
          <w:lang w:eastAsia="en-GB"/>
        </w:rPr>
        <w:t>1</w:t>
      </w:r>
      <w:r w:rsidR="000A51D6">
        <w:rPr>
          <w:rFonts w:eastAsia="Times New Roman" w:cstheme="minorHAnsi"/>
          <w:color w:val="000000"/>
          <w:vertAlign w:val="superscript"/>
          <w:lang w:eastAsia="en-GB"/>
        </w:rPr>
        <w:t>08</w:t>
      </w:r>
      <w:r w:rsidRPr="006805A0">
        <w:rPr>
          <w:rFonts w:eastAsia="Times New Roman" w:cstheme="minorHAnsi"/>
          <w:color w:val="000000"/>
          <w:lang w:eastAsia="en-GB"/>
        </w:rPr>
        <w:t xml:space="preserve"> reported </w:t>
      </w:r>
      <w:r w:rsidR="00F9390D">
        <w:rPr>
          <w:rFonts w:eastAsia="Times New Roman" w:cstheme="minorHAnsi"/>
          <w:color w:val="000000"/>
          <w:lang w:eastAsia="en-GB"/>
        </w:rPr>
        <w:t>that</w:t>
      </w:r>
      <w:r w:rsidRPr="006805A0">
        <w:rPr>
          <w:rFonts w:eastAsia="Times New Roman" w:cstheme="minorHAnsi"/>
          <w:color w:val="000000"/>
          <w:lang w:eastAsia="en-GB"/>
        </w:rPr>
        <w:t xml:space="preserve"> staff were not </w:t>
      </w:r>
      <w:r>
        <w:rPr>
          <w:rFonts w:eastAsia="Times New Roman" w:cstheme="minorHAnsi"/>
          <w:color w:val="000000"/>
          <w:lang w:eastAsia="en-GB"/>
        </w:rPr>
        <w:t xml:space="preserve">always </w:t>
      </w:r>
      <w:r w:rsidRPr="006805A0">
        <w:rPr>
          <w:rFonts w:eastAsia="Times New Roman" w:cstheme="minorHAnsi"/>
          <w:color w:val="000000"/>
          <w:lang w:eastAsia="en-GB"/>
        </w:rPr>
        <w:t xml:space="preserve">eligible for sick leave </w:t>
      </w:r>
      <w:r>
        <w:rPr>
          <w:rFonts w:eastAsia="Times New Roman" w:cstheme="minorHAnsi"/>
          <w:color w:val="000000"/>
          <w:lang w:eastAsia="en-GB"/>
        </w:rPr>
        <w:t>and</w:t>
      </w:r>
      <w:r w:rsidRPr="006805A0">
        <w:rPr>
          <w:rFonts w:eastAsia="Times New Roman" w:cstheme="minorHAnsi"/>
          <w:color w:val="000000"/>
          <w:lang w:eastAsia="en-GB"/>
        </w:rPr>
        <w:t xml:space="preserve"> </w:t>
      </w:r>
      <w:r w:rsidR="00F9390D">
        <w:rPr>
          <w:rFonts w:eastAsia="Times New Roman" w:cstheme="minorHAnsi"/>
          <w:color w:val="000000"/>
          <w:lang w:eastAsia="en-GB"/>
        </w:rPr>
        <w:t>that</w:t>
      </w:r>
      <w:r w:rsidRPr="006805A0">
        <w:rPr>
          <w:rFonts w:eastAsia="Times New Roman" w:cstheme="minorHAnsi"/>
          <w:color w:val="000000"/>
          <w:lang w:eastAsia="en-GB"/>
        </w:rPr>
        <w:t xml:space="preserve"> the management were concerned about staffing levels</w:t>
      </w:r>
      <w:r>
        <w:rPr>
          <w:rFonts w:eastAsia="Times New Roman" w:cstheme="minorHAnsi"/>
          <w:color w:val="000000"/>
          <w:lang w:eastAsia="en-GB"/>
        </w:rPr>
        <w:t xml:space="preserve">. However, concerns regarding the staffing levels were resolved quickly </w:t>
      </w:r>
      <w:r w:rsidRPr="006805A0">
        <w:rPr>
          <w:rFonts w:eastAsia="Times New Roman" w:cstheme="minorHAnsi"/>
          <w:color w:val="000000"/>
          <w:lang w:eastAsia="en-GB"/>
        </w:rPr>
        <w:t>since the wards were</w:t>
      </w:r>
      <w:r>
        <w:rPr>
          <w:rFonts w:eastAsia="Times New Roman" w:cstheme="minorHAnsi"/>
          <w:color w:val="000000"/>
          <w:lang w:eastAsia="en-GB"/>
        </w:rPr>
        <w:t xml:space="preserve"> also </w:t>
      </w:r>
      <w:r w:rsidRPr="006805A0">
        <w:rPr>
          <w:rFonts w:eastAsia="Times New Roman" w:cstheme="minorHAnsi"/>
          <w:color w:val="000000"/>
          <w:lang w:eastAsia="en-GB"/>
        </w:rPr>
        <w:t xml:space="preserve">closed to new admissions </w:t>
      </w:r>
      <w:r>
        <w:rPr>
          <w:rFonts w:eastAsia="Times New Roman" w:cstheme="minorHAnsi"/>
          <w:color w:val="000000"/>
          <w:lang w:eastAsia="en-GB"/>
        </w:rPr>
        <w:t xml:space="preserve">and therefore </w:t>
      </w:r>
      <w:r w:rsidRPr="006805A0">
        <w:rPr>
          <w:rFonts w:eastAsia="Times New Roman" w:cstheme="minorHAnsi"/>
          <w:color w:val="000000"/>
          <w:lang w:eastAsia="en-GB"/>
        </w:rPr>
        <w:t>the staffing requirements were reduced as well.</w:t>
      </w:r>
      <w:r>
        <w:rPr>
          <w:rFonts w:eastAsia="Times New Roman" w:cstheme="minorHAnsi"/>
          <w:color w:val="000000"/>
          <w:lang w:eastAsia="en-GB"/>
        </w:rPr>
        <w:t xml:space="preserve"> There was also one study which estimated that the cost of staff exclusion was approximately £11,000 for the affected 30 healthcare workers, although they did not state whether this strategy was cost effective or not. </w:t>
      </w:r>
    </w:p>
    <w:p w14:paraId="2D9D6FAF" w14:textId="6EEF9C13" w:rsidR="00E87A11" w:rsidRDefault="00E87A11" w:rsidP="00CF7116">
      <w:pPr>
        <w:spacing w:before="240" w:line="276" w:lineRule="auto"/>
      </w:pPr>
      <w:r w:rsidRPr="0095272F">
        <w:t xml:space="preserve">There was </w:t>
      </w:r>
      <w:r w:rsidRPr="00F9390D">
        <w:t>very weak</w:t>
      </w:r>
      <w:r w:rsidRPr="00B15BBD">
        <w:t xml:space="preserve"> evidence</w:t>
      </w:r>
      <w:r>
        <w:t xml:space="preserve"> from one outbreak study</w:t>
      </w:r>
      <w:r w:rsidR="000A51D6">
        <w:rPr>
          <w:vertAlign w:val="superscript"/>
        </w:rPr>
        <w:t>122</w:t>
      </w:r>
      <w:r>
        <w:t xml:space="preserve"> which reported excluding symptomatic staff working in healthcare settings until they were symptom free but for at least 48 hours. This outbreak, which occurred in hospital affected 77 cases and lasted 37 days. The authors reported that this staff exclusion policy, although somewhat successful was not beneficial. It was reported that s</w:t>
      </w:r>
      <w:r w:rsidRPr="00D71C95">
        <w:t xml:space="preserve">ome </w:t>
      </w:r>
      <w:r>
        <w:t>healthcare workers</w:t>
      </w:r>
      <w:r w:rsidRPr="00D71C95">
        <w:t xml:space="preserve"> returned to work earlier than 48 hours because of severe staff shortage</w:t>
      </w:r>
      <w:r>
        <w:t>s.</w:t>
      </w:r>
      <w:r w:rsidRPr="00D71C95">
        <w:t xml:space="preserve"> </w:t>
      </w:r>
      <w:r>
        <w:t>This</w:t>
      </w:r>
      <w:r w:rsidRPr="00D71C95">
        <w:t xml:space="preserve"> was accepted</w:t>
      </w:r>
      <w:r>
        <w:t xml:space="preserve"> by the management</w:t>
      </w:r>
      <w:r w:rsidRPr="00D71C95">
        <w:t>, as otherwise the care of patients would have been seriously jeopardised</w:t>
      </w:r>
      <w:r>
        <w:t xml:space="preserve">. The authors did not report whether or not these staff infected others upon their return. </w:t>
      </w:r>
    </w:p>
    <w:p w14:paraId="0BD26A17" w14:textId="58F54250" w:rsidR="00E87A11" w:rsidRDefault="00E87A11" w:rsidP="00CF7116">
      <w:pPr>
        <w:spacing w:before="240" w:line="276" w:lineRule="auto"/>
        <w:rPr>
          <w:rFonts w:eastAsia="Times New Roman" w:cstheme="minorHAnsi"/>
          <w:color w:val="000000"/>
          <w:lang w:eastAsia="en-GB"/>
        </w:rPr>
      </w:pPr>
      <w:r w:rsidRPr="0095272F">
        <w:t xml:space="preserve">There was </w:t>
      </w:r>
      <w:r w:rsidRPr="00F9390D">
        <w:t xml:space="preserve">weak </w:t>
      </w:r>
      <w:r w:rsidRPr="00B15BBD">
        <w:t>evidence</w:t>
      </w:r>
      <w:r>
        <w:t xml:space="preserve"> from eight outbreak studies</w:t>
      </w:r>
      <w:r w:rsidR="000A51D6" w:rsidRPr="000A51D6">
        <w:rPr>
          <w:vertAlign w:val="superscript"/>
        </w:rPr>
        <w:t>24,26,36,38,56,112,123,126</w:t>
      </w:r>
      <w:r>
        <w:t xml:space="preserve"> which reported excluding symptomatic staff working in healthcare settings for 72 hours </w:t>
      </w:r>
      <w:r w:rsidR="005D7997">
        <w:t>after</w:t>
      </w:r>
      <w:r>
        <w:t xml:space="preserve"> their symptoms resolved. The studies described a total of eleven outbreaks which affected from 13 to 394 cases (median 42) lasting between eight days and two months (median 19 days</w:t>
      </w:r>
      <w:r w:rsidRPr="006805A0">
        <w:rPr>
          <w:rFonts w:eastAsia="Times New Roman" w:cstheme="minorHAnsi"/>
          <w:color w:val="000000"/>
          <w:lang w:eastAsia="en-GB"/>
        </w:rPr>
        <w:t>)</w:t>
      </w:r>
      <w:r>
        <w:rPr>
          <w:rFonts w:eastAsia="Times New Roman" w:cstheme="minorHAnsi"/>
          <w:color w:val="000000"/>
          <w:lang w:eastAsia="en-GB"/>
        </w:rPr>
        <w:t>. Four of these studies (50%)</w:t>
      </w:r>
      <w:r w:rsidR="000A51D6" w:rsidRPr="000A51D6">
        <w:rPr>
          <w:vertAlign w:val="superscript"/>
        </w:rPr>
        <w:t>36</w:t>
      </w:r>
      <w:r w:rsidR="000A51D6">
        <w:rPr>
          <w:vertAlign w:val="superscript"/>
        </w:rPr>
        <w:t>,</w:t>
      </w:r>
      <w:r w:rsidR="000A51D6" w:rsidRPr="000A51D6">
        <w:rPr>
          <w:vertAlign w:val="superscript"/>
        </w:rPr>
        <w:t>112,123,126</w:t>
      </w:r>
      <w:r>
        <w:rPr>
          <w:rFonts w:eastAsia="Times New Roman" w:cstheme="minorHAnsi"/>
          <w:color w:val="000000"/>
          <w:lang w:eastAsia="en-GB"/>
        </w:rPr>
        <w:t xml:space="preserve"> reported a benefit of using staff exclusion for 72 hours after symptoms as a part of control measures. Of the studies which did not, none explicitly stated that this period was not sufficient in preventing transmission to others. Two studies</w:t>
      </w:r>
      <w:r w:rsidR="000A51D6">
        <w:rPr>
          <w:rFonts w:eastAsia="Times New Roman" w:cstheme="minorHAnsi"/>
          <w:color w:val="000000"/>
          <w:vertAlign w:val="superscript"/>
          <w:lang w:eastAsia="en-GB"/>
        </w:rPr>
        <w:t>26,56</w:t>
      </w:r>
      <w:r>
        <w:rPr>
          <w:rFonts w:eastAsia="Times New Roman" w:cstheme="minorHAnsi"/>
          <w:color w:val="000000"/>
          <w:lang w:eastAsia="en-GB"/>
        </w:rPr>
        <w:t xml:space="preserve"> reported that the outbreak continued due to an extensive environmental contamination and that the outbreak was resolved only after a thorough </w:t>
      </w:r>
      <w:r>
        <w:rPr>
          <w:rFonts w:eastAsia="Times New Roman" w:cstheme="minorHAnsi"/>
          <w:color w:val="000000"/>
          <w:lang w:eastAsia="en-GB"/>
        </w:rPr>
        <w:lastRenderedPageBreak/>
        <w:t>environmental cleaning and disinfection. Another study</w:t>
      </w:r>
      <w:r w:rsidRPr="00D71C95">
        <w:rPr>
          <w:rFonts w:eastAsia="Times New Roman" w:cstheme="minorHAnsi"/>
          <w:color w:val="000000"/>
          <w:vertAlign w:val="superscript"/>
          <w:lang w:eastAsia="en-GB"/>
        </w:rPr>
        <w:t>3</w:t>
      </w:r>
      <w:r w:rsidR="000A51D6">
        <w:rPr>
          <w:rFonts w:eastAsia="Times New Roman" w:cstheme="minorHAnsi"/>
          <w:color w:val="000000"/>
          <w:vertAlign w:val="superscript"/>
          <w:lang w:eastAsia="en-GB"/>
        </w:rPr>
        <w:t>8</w:t>
      </w:r>
      <w:r>
        <w:rPr>
          <w:rFonts w:eastAsia="Times New Roman" w:cstheme="minorHAnsi"/>
          <w:color w:val="000000"/>
          <w:lang w:eastAsia="en-GB"/>
        </w:rPr>
        <w:t xml:space="preserve"> reported that the control measures, which included </w:t>
      </w:r>
      <w:r w:rsidR="005D7997">
        <w:rPr>
          <w:rFonts w:eastAsia="Times New Roman" w:cstheme="minorHAnsi"/>
          <w:color w:val="000000"/>
          <w:lang w:eastAsia="en-GB"/>
        </w:rPr>
        <w:t xml:space="preserve">a </w:t>
      </w:r>
      <w:r>
        <w:rPr>
          <w:rFonts w:eastAsia="Times New Roman" w:cstheme="minorHAnsi"/>
          <w:color w:val="000000"/>
          <w:lang w:eastAsia="en-GB"/>
        </w:rPr>
        <w:t>staff exclusion policy</w:t>
      </w:r>
      <w:r w:rsidR="005D7997">
        <w:rPr>
          <w:rFonts w:eastAsia="Times New Roman" w:cstheme="minorHAnsi"/>
          <w:color w:val="000000"/>
          <w:lang w:eastAsia="en-GB"/>
        </w:rPr>
        <w:t>,</w:t>
      </w:r>
      <w:r>
        <w:rPr>
          <w:rFonts w:eastAsia="Times New Roman" w:cstheme="minorHAnsi"/>
          <w:color w:val="000000"/>
          <w:lang w:eastAsia="en-GB"/>
        </w:rPr>
        <w:t xml:space="preserve"> were not initially successful but that the slowed down the rate at which new cases occurred. The last study,</w:t>
      </w:r>
      <w:r w:rsidRPr="00D71C95">
        <w:rPr>
          <w:rFonts w:eastAsia="Times New Roman" w:cstheme="minorHAnsi"/>
          <w:color w:val="000000"/>
          <w:vertAlign w:val="superscript"/>
          <w:lang w:eastAsia="en-GB"/>
        </w:rPr>
        <w:t>2</w:t>
      </w:r>
      <w:r w:rsidR="000A51D6">
        <w:rPr>
          <w:rFonts w:eastAsia="Times New Roman" w:cstheme="minorHAnsi"/>
          <w:color w:val="000000"/>
          <w:vertAlign w:val="superscript"/>
          <w:lang w:eastAsia="en-GB"/>
        </w:rPr>
        <w:t>4</w:t>
      </w:r>
      <w:r>
        <w:rPr>
          <w:rFonts w:eastAsia="Times New Roman" w:cstheme="minorHAnsi"/>
          <w:color w:val="000000"/>
          <w:lang w:eastAsia="en-GB"/>
        </w:rPr>
        <w:t xml:space="preserve"> which also stated that the outbreak continued for further 59 days reported that the reason for a prolonged duration was staff being non-compliant with the interventions</w:t>
      </w:r>
      <w:r w:rsidRPr="00D71C95">
        <w:rPr>
          <w:rFonts w:eastAsia="Times New Roman" w:cstheme="minorHAnsi"/>
          <w:color w:val="000000"/>
          <w:lang w:eastAsia="en-GB"/>
        </w:rPr>
        <w:t xml:space="preserve">. One of these </w:t>
      </w:r>
      <w:r>
        <w:rPr>
          <w:rFonts w:eastAsia="Times New Roman" w:cstheme="minorHAnsi"/>
          <w:color w:val="000000"/>
          <w:lang w:eastAsia="en-GB"/>
        </w:rPr>
        <w:t xml:space="preserve">was the staff exclusion policy and it was reported that </w:t>
      </w:r>
      <w:r w:rsidRPr="00D71C95">
        <w:rPr>
          <w:rFonts w:eastAsia="Times New Roman" w:cstheme="minorHAnsi"/>
          <w:color w:val="000000"/>
          <w:lang w:eastAsia="en-GB"/>
        </w:rPr>
        <w:t>due to shortages, staff were not able to stay at home for 72</w:t>
      </w:r>
      <w:r>
        <w:rPr>
          <w:rFonts w:eastAsia="Times New Roman" w:cstheme="minorHAnsi"/>
          <w:color w:val="000000"/>
          <w:lang w:eastAsia="en-GB"/>
        </w:rPr>
        <w:t xml:space="preserve"> hours</w:t>
      </w:r>
      <w:r w:rsidRPr="00D71C95">
        <w:rPr>
          <w:rFonts w:eastAsia="Times New Roman" w:cstheme="minorHAnsi"/>
          <w:color w:val="000000"/>
          <w:lang w:eastAsia="en-GB"/>
        </w:rPr>
        <w:t xml:space="preserve"> after illness. </w:t>
      </w:r>
    </w:p>
    <w:p w14:paraId="223C9BD8" w14:textId="0C3AA9FE" w:rsidR="00E87A11" w:rsidRDefault="00E87A11" w:rsidP="00CF7116">
      <w:pPr>
        <w:spacing w:before="240" w:line="276" w:lineRule="auto"/>
      </w:pPr>
      <w:r w:rsidRPr="0095272F">
        <w:t xml:space="preserve">There was </w:t>
      </w:r>
      <w:r w:rsidRPr="00F9390D">
        <w:t xml:space="preserve">weak </w:t>
      </w:r>
      <w:r w:rsidRPr="00B15BBD">
        <w:t>evidence</w:t>
      </w:r>
      <w:r>
        <w:t xml:space="preserve"> from one cross-sectional study</w:t>
      </w:r>
      <w:r w:rsidR="000A51D6">
        <w:rPr>
          <w:vertAlign w:val="superscript"/>
        </w:rPr>
        <w:t>21</w:t>
      </w:r>
      <w:r>
        <w:t xml:space="preserve"> which reported an implementation of a policy where recovered staff were caring only for symptomatic cases. This study reported that this policy implemented in nursing homes had no benefit on the incidence of norovirus infection in the residents (OR 2.17 [CI95% 1.19–3.99], p-value not reported</w:t>
      </w:r>
      <w:r w:rsidRPr="00723022">
        <w:t>)</w:t>
      </w:r>
      <w:r>
        <w:t xml:space="preserve"> as well as staff (OR 4.63 [CI95% 1.99–10.73], p-value not reported</w:t>
      </w:r>
      <w:r w:rsidRPr="00723022">
        <w:t>)</w:t>
      </w:r>
      <w:r>
        <w:t>.</w:t>
      </w:r>
    </w:p>
    <w:p w14:paraId="0A337CBF" w14:textId="7D085E3F" w:rsidR="00E87A11" w:rsidRDefault="00E87A11" w:rsidP="00CF7116">
      <w:pPr>
        <w:spacing w:before="240" w:line="276" w:lineRule="auto"/>
      </w:pPr>
      <w:r w:rsidRPr="0095272F">
        <w:t xml:space="preserve">There was </w:t>
      </w:r>
      <w:r w:rsidRPr="00F9390D">
        <w:t>very weak</w:t>
      </w:r>
      <w:r w:rsidRPr="00B15BBD">
        <w:t xml:space="preserve"> evidence</w:t>
      </w:r>
      <w:r>
        <w:t xml:space="preserve"> from one outbreak study,</w:t>
      </w:r>
      <w:r w:rsidR="000A51D6">
        <w:rPr>
          <w:vertAlign w:val="superscript"/>
        </w:rPr>
        <w:t>59</w:t>
      </w:r>
      <w:r w:rsidRPr="005078D9">
        <w:t xml:space="preserve"> </w:t>
      </w:r>
      <w:r>
        <w:t xml:space="preserve">which reported excluding symptomatic staff working outside </w:t>
      </w:r>
      <w:r w:rsidR="00F9390D">
        <w:t>a</w:t>
      </w:r>
      <w:r>
        <w:t xml:space="preserve"> healthcare setting until 24 hours after symptom resolution. The outbreak, which occurred in a hotel affected 116 cases and lasted 19 days. The authors </w:t>
      </w:r>
      <w:r w:rsidRPr="00546633">
        <w:t xml:space="preserve">reported that </w:t>
      </w:r>
      <w:r>
        <w:t xml:space="preserve">the </w:t>
      </w:r>
      <w:r w:rsidRPr="00546633">
        <w:t xml:space="preserve">hotel </w:t>
      </w:r>
      <w:r>
        <w:t xml:space="preserve">had an existing </w:t>
      </w:r>
      <w:r w:rsidRPr="00546633">
        <w:t xml:space="preserve">policy </w:t>
      </w:r>
      <w:r>
        <w:t>which required staff</w:t>
      </w:r>
      <w:r w:rsidRPr="00546633">
        <w:t xml:space="preserve"> to stay </w:t>
      </w:r>
      <w:r>
        <w:t xml:space="preserve">at </w:t>
      </w:r>
      <w:r w:rsidRPr="00546633">
        <w:t>home until symptoms</w:t>
      </w:r>
      <w:r>
        <w:t xml:space="preserve"> resolved. However, the staff did not comply with this policy because they did not want to miss work. The hotel introduced another policy which required staff to stay at home for 24 hours after symptom resolution, but the authors reported that despite being told repeatedly</w:t>
      </w:r>
      <w:r w:rsidRPr="00546633">
        <w:t xml:space="preserve">, </w:t>
      </w:r>
      <w:r>
        <w:t>the staff were still non-compliant. It was reported that</w:t>
      </w:r>
      <w:r w:rsidR="005D7997">
        <w:t xml:space="preserve"> after</w:t>
      </w:r>
      <w:r>
        <w:t xml:space="preserve"> introducing sick pay, the staff were more compliant and that this strategy, combined with other control measures eventually contributed to outbreak resolution. </w:t>
      </w:r>
    </w:p>
    <w:p w14:paraId="7445659A" w14:textId="36221290" w:rsidR="00E87A11" w:rsidRDefault="00E87A11" w:rsidP="00CF7116">
      <w:pPr>
        <w:spacing w:before="240" w:line="276" w:lineRule="auto"/>
      </w:pPr>
      <w:r w:rsidRPr="0095272F">
        <w:t xml:space="preserve">There was </w:t>
      </w:r>
      <w:r w:rsidRPr="00F9390D">
        <w:t>very weak</w:t>
      </w:r>
      <w:r w:rsidRPr="00B15BBD">
        <w:t xml:space="preserve"> evidence</w:t>
      </w:r>
      <w:r>
        <w:t xml:space="preserve"> from two outbreak studies,</w:t>
      </w:r>
      <w:r w:rsidR="000A51D6">
        <w:rPr>
          <w:vertAlign w:val="superscript"/>
        </w:rPr>
        <w:t>44,269</w:t>
      </w:r>
      <w:r w:rsidRPr="005078D9">
        <w:t xml:space="preserve"> </w:t>
      </w:r>
      <w:r>
        <w:t>which reported excluding symptomatic staff working outside healthcare settings until 48 hours after symptom resolution. One of these studies</w:t>
      </w:r>
      <w:r w:rsidR="000A51D6">
        <w:rPr>
          <w:vertAlign w:val="superscript"/>
        </w:rPr>
        <w:t>44</w:t>
      </w:r>
      <w:r>
        <w:t xml:space="preserve"> reported this strategy to be beneficial. This was an outbreak in which most cases were affected following a common exposure to a vomiting index case but it was reported that secondary person-to-person spread also occurred. The outbreak lasted five days and affected a total of 98 cases, including food handlers. The authors reported that following an introduction of control measures</w:t>
      </w:r>
      <w:r w:rsidR="00F9390D">
        <w:t>,</w:t>
      </w:r>
      <w:r>
        <w:t xml:space="preserve"> which included </w:t>
      </w:r>
      <w:r w:rsidR="00F9390D">
        <w:t>a</w:t>
      </w:r>
      <w:r>
        <w:t xml:space="preserve"> policy for staff to stay at home for 48 hours after symptom resolution, there were only three further cases and that the outbreak ended one day later. In the second outbreak,</w:t>
      </w:r>
      <w:r w:rsidR="000A51D6">
        <w:rPr>
          <w:vertAlign w:val="superscript"/>
        </w:rPr>
        <w:t>269</w:t>
      </w:r>
      <w:r>
        <w:t xml:space="preserve"> which occurred on a cruise ship affecting 196 cases and lasting twelve days, staff exclusion for 48 hours together with other control measures w</w:t>
      </w:r>
      <w:r w:rsidR="00F9390D">
        <w:t>as</w:t>
      </w:r>
      <w:r>
        <w:t xml:space="preserve"> not successful. The authors reported that the outbreak ha</w:t>
      </w:r>
      <w:r w:rsidR="00F9390D">
        <w:t>d</w:t>
      </w:r>
      <w:r>
        <w:t xml:space="preserve"> resolved seven days later, when the ship arrived at the port, all passengers disembarked and the ship was thoroughly disinfected. The authors did not specifically report whether or not symptomatic or recovered staff were responsible for transmission of norovirus to others. </w:t>
      </w:r>
    </w:p>
    <w:p w14:paraId="2557CA52" w14:textId="67051D5F" w:rsidR="00E87A11" w:rsidRDefault="00E87A11" w:rsidP="00CF7116">
      <w:pPr>
        <w:spacing w:before="240" w:line="276" w:lineRule="auto"/>
      </w:pPr>
      <w:r w:rsidRPr="0095272F">
        <w:t xml:space="preserve">There was </w:t>
      </w:r>
      <w:bookmarkStart w:id="26" w:name="_Hlk110019870"/>
      <w:r w:rsidRPr="00F9390D">
        <w:t>very weak</w:t>
      </w:r>
      <w:r w:rsidRPr="00B15BBD">
        <w:t xml:space="preserve"> </w:t>
      </w:r>
      <w:bookmarkEnd w:id="26"/>
      <w:r w:rsidRPr="00B15BBD">
        <w:t>evidence</w:t>
      </w:r>
      <w:r>
        <w:t xml:space="preserve"> from one outbreak study,</w:t>
      </w:r>
      <w:r w:rsidR="000A51D6">
        <w:rPr>
          <w:vertAlign w:val="superscript"/>
        </w:rPr>
        <w:t>41</w:t>
      </w:r>
      <w:r w:rsidRPr="005078D9">
        <w:t xml:space="preserve"> </w:t>
      </w:r>
      <w:r>
        <w:t xml:space="preserve">which reported excluding symptomatic staff working outside </w:t>
      </w:r>
      <w:r w:rsidR="00F9390D">
        <w:t>a</w:t>
      </w:r>
      <w:r>
        <w:t xml:space="preserve"> healthcare setting until 72 hours after symptom resolution. This was a small outbreak in a restaurant which affected three cases. The authors reported that following staff exclusion for 72 hours after symptoms, discarding food and disinfecting the entire premises, no further cases were reported. </w:t>
      </w:r>
    </w:p>
    <w:p w14:paraId="33F96B8E" w14:textId="3726EC6A" w:rsidR="00E87A11" w:rsidRDefault="00E87A11" w:rsidP="00CF7116">
      <w:pPr>
        <w:spacing w:before="240" w:line="276" w:lineRule="auto"/>
      </w:pPr>
      <w:r w:rsidRPr="0095272F">
        <w:t xml:space="preserve">There was </w:t>
      </w:r>
      <w:r w:rsidR="00F9390D" w:rsidRPr="00F9390D">
        <w:t>very weak</w:t>
      </w:r>
      <w:r w:rsidR="00F9390D" w:rsidRPr="00B15BBD">
        <w:t xml:space="preserve"> </w:t>
      </w:r>
      <w:r w:rsidRPr="00B15BBD">
        <w:t>evidence</w:t>
      </w:r>
      <w:r>
        <w:t xml:space="preserve"> from one outbreak study,</w:t>
      </w:r>
      <w:r w:rsidR="000A51D6">
        <w:rPr>
          <w:vertAlign w:val="superscript"/>
        </w:rPr>
        <w:t>118</w:t>
      </w:r>
      <w:r w:rsidRPr="005078D9">
        <w:t xml:space="preserve"> </w:t>
      </w:r>
      <w:r>
        <w:t xml:space="preserve">which reported excluding symptomatic staff working outside </w:t>
      </w:r>
      <w:r w:rsidR="00F9390D">
        <w:t>a</w:t>
      </w:r>
      <w:r>
        <w:t xml:space="preserve"> healthcare setting until they received clearance from the doctor. This </w:t>
      </w:r>
      <w:r>
        <w:lastRenderedPageBreak/>
        <w:t>outbreak occurred following three different even</w:t>
      </w:r>
      <w:r w:rsidR="00F9390D">
        <w:t>t</w:t>
      </w:r>
      <w:r>
        <w:t xml:space="preserve">s at </w:t>
      </w:r>
      <w:r w:rsidR="00F9390D">
        <w:t>a</w:t>
      </w:r>
      <w:r>
        <w:t xml:space="preserve"> function centre following exposure to food prepared by a symptomatic food handler. It was reported that at least 77 people were affected by this outbreak. The authors reported that the function centre closed and that all symptomatic staff were excluded from work until they obtained clearance. Following these interventions, no further cases were reported. </w:t>
      </w:r>
    </w:p>
    <w:p w14:paraId="029FF02B" w14:textId="5512CD74" w:rsidR="00E87A11" w:rsidRDefault="00E87A11" w:rsidP="00CF7116">
      <w:pPr>
        <w:spacing w:before="240" w:line="276" w:lineRule="auto"/>
      </w:pPr>
      <w:r w:rsidRPr="0095272F">
        <w:t xml:space="preserve">There was </w:t>
      </w:r>
      <w:r w:rsidR="00F9390D" w:rsidRPr="00F9390D">
        <w:t>very weak</w:t>
      </w:r>
      <w:r w:rsidR="00F9390D" w:rsidRPr="00B15BBD">
        <w:t xml:space="preserve"> </w:t>
      </w:r>
      <w:r w:rsidRPr="00B15BBD">
        <w:t>evidence</w:t>
      </w:r>
      <w:r>
        <w:t xml:space="preserve"> from one outbreak study,</w:t>
      </w:r>
      <w:r>
        <w:rPr>
          <w:vertAlign w:val="superscript"/>
        </w:rPr>
        <w:t>4</w:t>
      </w:r>
      <w:r w:rsidR="000A51D6">
        <w:rPr>
          <w:vertAlign w:val="superscript"/>
        </w:rPr>
        <w:t>6</w:t>
      </w:r>
      <w:r w:rsidRPr="005078D9">
        <w:t xml:space="preserve"> </w:t>
      </w:r>
      <w:r>
        <w:t xml:space="preserve">which reported excluding symptomatic staff working outside </w:t>
      </w:r>
      <w:r w:rsidR="00F9390D">
        <w:t>a</w:t>
      </w:r>
      <w:r>
        <w:t xml:space="preserve"> healthcare setting until they received a negative norovirus test, taken at least after 72 hours from the symptom onset. The authors reported that following an introduction of this policy, together with other control measures, cases continued for further 15 days but at much lower rate.</w:t>
      </w:r>
      <w:r w:rsidR="000E41A6">
        <w:t xml:space="preserve"> </w:t>
      </w:r>
    </w:p>
    <w:p w14:paraId="45F59E4C" w14:textId="0921374D" w:rsidR="00F9390D" w:rsidRPr="00F9390D" w:rsidRDefault="00F9390D" w:rsidP="00CF7116">
      <w:pPr>
        <w:spacing w:before="240" w:line="276" w:lineRule="auto"/>
        <w:rPr>
          <w:i/>
          <w:iCs/>
        </w:rPr>
      </w:pPr>
      <w:r w:rsidRPr="00F9390D">
        <w:rPr>
          <w:i/>
          <w:iCs/>
        </w:rPr>
        <w:t>The</w:t>
      </w:r>
      <w:r w:rsidR="00FD2A1F">
        <w:rPr>
          <w:i/>
          <w:iCs/>
        </w:rPr>
        <w:t xml:space="preserve"> Working Party agreed that there is currently </w:t>
      </w:r>
      <w:r w:rsidRPr="00F9390D">
        <w:rPr>
          <w:i/>
          <w:iCs/>
        </w:rPr>
        <w:t xml:space="preserve">weak evidence that excluding symptomatic staff with </w:t>
      </w:r>
      <w:r w:rsidR="00FD2A1F">
        <w:rPr>
          <w:i/>
          <w:iCs/>
        </w:rPr>
        <w:t>norovirus infection</w:t>
      </w:r>
      <w:r w:rsidRPr="00F9390D">
        <w:rPr>
          <w:i/>
          <w:iCs/>
        </w:rPr>
        <w:t xml:space="preserve"> reduces the number of affected people in some outbreaks.</w:t>
      </w:r>
      <w:r w:rsidR="00FD2A1F">
        <w:rPr>
          <w:i/>
          <w:iCs/>
        </w:rPr>
        <w:t xml:space="preserve"> Based on the knowledge that most individuals shed the virus for approximately 48 hours after symptoms, this strategy would be considered good practice. However, the Working Party also recognised that this may not always be possible in some outbreaks or settings. For example, the literature pointed out the difficulties meeting the staffing levels when doctors and allied health professionals were excluded. </w:t>
      </w:r>
      <w:bookmarkStart w:id="27" w:name="_Hlk113024590"/>
      <w:r w:rsidR="00FD2A1F">
        <w:rPr>
          <w:i/>
          <w:iCs/>
        </w:rPr>
        <w:t>Therefore the Working Party recommended that the standard procedures should support the policy where staff are excluded for 48 hours after symptoms</w:t>
      </w:r>
      <w:r w:rsidR="00364DC7">
        <w:rPr>
          <w:i/>
          <w:iCs/>
        </w:rPr>
        <w:t xml:space="preserve"> have resolved</w:t>
      </w:r>
      <w:r w:rsidR="00FD2A1F">
        <w:rPr>
          <w:i/>
          <w:iCs/>
        </w:rPr>
        <w:t>. However, in outbreaks when this is not possible</w:t>
      </w:r>
      <w:r w:rsidR="00C0180F">
        <w:rPr>
          <w:i/>
          <w:iCs/>
        </w:rPr>
        <w:t xml:space="preserve">, </w:t>
      </w:r>
      <w:r w:rsidR="00A376A4">
        <w:rPr>
          <w:i/>
          <w:iCs/>
        </w:rPr>
        <w:t>i.e. when it is not possible to replace skilled members of staff</w:t>
      </w:r>
      <w:r w:rsidR="00FD2A1F">
        <w:rPr>
          <w:i/>
          <w:iCs/>
        </w:rPr>
        <w:t xml:space="preserve">, this policy can be withdrawn if </w:t>
      </w:r>
      <w:r w:rsidR="00C0180F">
        <w:rPr>
          <w:i/>
          <w:iCs/>
        </w:rPr>
        <w:t>absence of these staff</w:t>
      </w:r>
      <w:r w:rsidR="00FD2A1F">
        <w:rPr>
          <w:i/>
          <w:iCs/>
        </w:rPr>
        <w:t xml:space="preserve"> can put </w:t>
      </w:r>
      <w:r w:rsidR="00364DC7">
        <w:rPr>
          <w:i/>
          <w:iCs/>
        </w:rPr>
        <w:t>individual</w:t>
      </w:r>
      <w:r w:rsidR="00FD2A1F">
        <w:rPr>
          <w:i/>
          <w:iCs/>
        </w:rPr>
        <w:t>s at risk. In these situations, a</w:t>
      </w:r>
      <w:r w:rsidRPr="00F9390D">
        <w:rPr>
          <w:i/>
          <w:iCs/>
        </w:rPr>
        <w:t xml:space="preserve"> local risk assessment needs to be made that takes into account skills and staffing levels before allowing staff to return within 48 hours</w:t>
      </w:r>
      <w:r w:rsidR="00FD2A1F">
        <w:rPr>
          <w:i/>
          <w:iCs/>
        </w:rPr>
        <w:t xml:space="preserve">. </w:t>
      </w:r>
    </w:p>
    <w:bookmarkEnd w:id="27"/>
    <w:p w14:paraId="7E68992E" w14:textId="77777777" w:rsidR="00E87A11" w:rsidRPr="006245E4" w:rsidRDefault="00E87A11" w:rsidP="00CF7116">
      <w:pPr>
        <w:spacing w:line="276" w:lineRule="auto"/>
        <w:rPr>
          <w:b/>
          <w:bCs/>
        </w:rPr>
      </w:pPr>
      <w:r w:rsidRPr="006245E4">
        <w:rPr>
          <w:b/>
          <w:bCs/>
        </w:rPr>
        <w:t>Recommendations:</w:t>
      </w:r>
    </w:p>
    <w:p w14:paraId="0DC980BC" w14:textId="5B7499F6" w:rsidR="00E87A11" w:rsidRPr="00DC6740" w:rsidRDefault="00FD2A1F" w:rsidP="00CF7116">
      <w:pPr>
        <w:spacing w:before="240" w:line="276" w:lineRule="auto"/>
      </w:pPr>
      <w:r w:rsidRPr="00FD2A1F">
        <w:rPr>
          <w:b/>
          <w:bCs/>
        </w:rPr>
        <w:t>24.1:</w:t>
      </w:r>
      <w:r>
        <w:t xml:space="preserve"> </w:t>
      </w:r>
      <w:r w:rsidR="00F9390D" w:rsidRPr="00F9390D">
        <w:t>Consider excluding symptomatic staff with</w:t>
      </w:r>
      <w:r>
        <w:t xml:space="preserve"> norovirus infection</w:t>
      </w:r>
      <w:r w:rsidR="00F9390D" w:rsidRPr="00F9390D">
        <w:t xml:space="preserve"> for a minimum of 48 hours after symptoms resolve</w:t>
      </w:r>
      <w:r>
        <w:t xml:space="preserve">. </w:t>
      </w:r>
    </w:p>
    <w:p w14:paraId="065C6C11" w14:textId="77777777" w:rsidR="00E87A11" w:rsidRPr="006245E4" w:rsidRDefault="00E87A11" w:rsidP="00CF7116">
      <w:pPr>
        <w:spacing w:line="276" w:lineRule="auto"/>
        <w:rPr>
          <w:b/>
          <w:bCs/>
        </w:rPr>
      </w:pPr>
      <w:r w:rsidRPr="006245E4">
        <w:rPr>
          <w:b/>
          <w:bCs/>
        </w:rPr>
        <w:t>Good practice points:</w:t>
      </w:r>
    </w:p>
    <w:p w14:paraId="22AA6B65" w14:textId="64C0E7C2" w:rsidR="00E87A11" w:rsidRDefault="00FD2A1F" w:rsidP="00CF7116">
      <w:pPr>
        <w:spacing w:before="240" w:line="276" w:lineRule="auto"/>
      </w:pPr>
      <w:r w:rsidRPr="00FD2A1F">
        <w:rPr>
          <w:b/>
          <w:bCs/>
        </w:rPr>
        <w:t>GPP 24.1:</w:t>
      </w:r>
      <w:r>
        <w:t xml:space="preserve"> In outbreaks where staff exclusion policy is not feasible</w:t>
      </w:r>
      <w:r w:rsidR="00BF19CD" w:rsidRPr="00BF19CD">
        <w:t xml:space="preserve">, </w:t>
      </w:r>
      <w:r w:rsidR="00BF19CD">
        <w:t>(</w:t>
      </w:r>
      <w:r w:rsidR="00BF19CD" w:rsidRPr="00BF19CD">
        <w:t>i.e. when it is not possible to replace skilled members of staff</w:t>
      </w:r>
      <w:r w:rsidR="00BF19CD">
        <w:t>)</w:t>
      </w:r>
      <w:r>
        <w:t>, conduct a</w:t>
      </w:r>
      <w:r w:rsidR="00F9390D" w:rsidRPr="00F9390D">
        <w:t xml:space="preserve"> local risk assessment that takes into account skills and staffing levels before allowing staff to return within 48 hours of symptomatic </w:t>
      </w:r>
      <w:r>
        <w:t xml:space="preserve">norovirus infection. </w:t>
      </w:r>
    </w:p>
    <w:p w14:paraId="4E0F4512" w14:textId="77777777" w:rsidR="00E87A11" w:rsidRDefault="00E87A11" w:rsidP="00CF7116">
      <w:pPr>
        <w:spacing w:before="240" w:line="276" w:lineRule="auto"/>
      </w:pPr>
    </w:p>
    <w:p w14:paraId="0F00C082" w14:textId="256E098B" w:rsidR="00E758C0" w:rsidRDefault="00E758C0" w:rsidP="00CF7116">
      <w:pPr>
        <w:pStyle w:val="Heading2"/>
        <w:spacing w:before="240" w:after="160" w:line="276" w:lineRule="auto"/>
      </w:pPr>
      <w:r>
        <w:t>8.25</w:t>
      </w:r>
      <w:r w:rsidRPr="00E758C0">
        <w:tab/>
      </w:r>
      <w:bookmarkStart w:id="28" w:name="_Hlk110263107"/>
      <w:r w:rsidRPr="00E758C0">
        <w:t>What approaches to the management of transfer of individuals infected with norovirus are most practical and effective at minimising the risk to others?</w:t>
      </w:r>
      <w:bookmarkEnd w:id="28"/>
    </w:p>
    <w:p w14:paraId="5C140379" w14:textId="715F54DD" w:rsidR="000E41A6" w:rsidRDefault="000E41A6" w:rsidP="00CF7116">
      <w:pPr>
        <w:spacing w:before="240" w:line="276" w:lineRule="auto"/>
      </w:pPr>
      <w:r w:rsidRPr="000E41A6">
        <w:t xml:space="preserve">Due to the high infectivity of a patient during the acute stage of infection with norovirus, the most reliable precaution against onwards transmission in another </w:t>
      </w:r>
      <w:r>
        <w:t>unit</w:t>
      </w:r>
      <w:r w:rsidRPr="000E41A6">
        <w:t xml:space="preserve"> is to avoid the transfer of patients with infection or those exposed to infectious patients. </w:t>
      </w:r>
      <w:r w:rsidR="00AC0F9C">
        <w:t>P</w:t>
      </w:r>
      <w:r w:rsidRPr="000E41A6">
        <w:t>revious guidelines</w:t>
      </w:r>
      <w:r w:rsidR="00AC0F9C" w:rsidRPr="00AC0F9C">
        <w:rPr>
          <w:vertAlign w:val="superscript"/>
        </w:rPr>
        <w:t>1</w:t>
      </w:r>
      <w:r w:rsidRPr="000E41A6">
        <w:t xml:space="preserve"> recommended that</w:t>
      </w:r>
      <w:r>
        <w:t>,</w:t>
      </w:r>
      <w:r w:rsidRPr="000E41A6">
        <w:t xml:space="preserve"> should clinical need necessitate transfer of an infected or an exposed, asymptomatic </w:t>
      </w:r>
      <w:r>
        <w:t>individual</w:t>
      </w:r>
      <w:r w:rsidRPr="000E41A6">
        <w:t xml:space="preserve">, a risk assessment should be undertaken, and the receiving staff and transport staff should be </w:t>
      </w:r>
      <w:r w:rsidRPr="000E41A6">
        <w:lastRenderedPageBreak/>
        <w:t xml:space="preserve">informed of the patient’s norovirus infection. This would allow them to ensure that that appropriate placement of the patient and infection control precautions can be put in place. </w:t>
      </w:r>
    </w:p>
    <w:p w14:paraId="336CDE8C" w14:textId="7988CA3F" w:rsidR="00E87A11" w:rsidRDefault="00E87A11" w:rsidP="00CF7116">
      <w:pPr>
        <w:spacing w:before="240" w:line="276" w:lineRule="auto"/>
      </w:pPr>
      <w:r w:rsidRPr="0095272F">
        <w:t>There was</w:t>
      </w:r>
      <w:r w:rsidRPr="00305F7A">
        <w:t xml:space="preserve"> </w:t>
      </w:r>
      <w:r w:rsidR="00305F7A">
        <w:t>moderate</w:t>
      </w:r>
      <w:r w:rsidRPr="00B15BBD">
        <w:t xml:space="preserve"> evidence</w:t>
      </w:r>
      <w:r>
        <w:t xml:space="preserve"> from one cross-sectional study</w:t>
      </w:r>
      <w:r w:rsidR="00BF6A5F">
        <w:rPr>
          <w:vertAlign w:val="superscript"/>
        </w:rPr>
        <w:t>21</w:t>
      </w:r>
      <w:r>
        <w:t xml:space="preserve"> and 14 outbreak studies,</w:t>
      </w:r>
      <w:r w:rsidR="00024BD8" w:rsidRPr="00024BD8">
        <w:rPr>
          <w:vertAlign w:val="superscript"/>
        </w:rPr>
        <w:t>19,20,26,27,29,30,37,38,56,</w:t>
      </w:r>
      <w:r w:rsidR="00BF6A5F" w:rsidRPr="00024BD8">
        <w:rPr>
          <w:vertAlign w:val="superscript"/>
        </w:rPr>
        <w:t>146,108,</w:t>
      </w:r>
      <w:r w:rsidR="00024BD8" w:rsidRPr="00024BD8">
        <w:rPr>
          <w:vertAlign w:val="superscript"/>
        </w:rPr>
        <w:t>111,115,</w:t>
      </w:r>
      <w:r w:rsidR="00BF6A5F" w:rsidRPr="00024BD8">
        <w:rPr>
          <w:vertAlign w:val="superscript"/>
        </w:rPr>
        <w:t>121</w:t>
      </w:r>
      <w:r>
        <w:t xml:space="preserve"> which assessed the effectiveness of avoiding patient transfers during norovirus outbreaks in healthcare settings. The cross-sectional study,</w:t>
      </w:r>
      <w:r w:rsidR="00BF6A5F">
        <w:rPr>
          <w:vertAlign w:val="superscript"/>
        </w:rPr>
        <w:t>21</w:t>
      </w:r>
      <w:r>
        <w:t xml:space="preserve"> which assessed the effectiveness of different control measures in nursing homes affected by norovirus outbreaks, reported that there was no significant difference in the incidence </w:t>
      </w:r>
      <w:r w:rsidR="005D7997">
        <w:t>of</w:t>
      </w:r>
      <w:r>
        <w:t xml:space="preserve"> either residents or staff becoming infected during the outbreaks (OR </w:t>
      </w:r>
      <w:r w:rsidRPr="00001539">
        <w:t>1.33 [</w:t>
      </w:r>
      <w:r>
        <w:t xml:space="preserve">CI95% </w:t>
      </w:r>
      <w:r w:rsidRPr="00001539">
        <w:t>0.90-1.95], p=NS</w:t>
      </w:r>
      <w:r>
        <w:t xml:space="preserve"> for residents and OR </w:t>
      </w:r>
      <w:r w:rsidRPr="00001539">
        <w:t>1.47 [</w:t>
      </w:r>
      <w:r>
        <w:t xml:space="preserve">CI95% </w:t>
      </w:r>
      <w:r w:rsidRPr="00001539">
        <w:t>0.87-2.48] p=NS</w:t>
      </w:r>
      <w:r>
        <w:t xml:space="preserve"> for staff). The outbreak studies, which described a total of 17 outbreaks, reported different approaches to transfers, all of which involved avoiding internal transfers within the facility. These included a blanket approach of avoiding transfers of any patients anywhere in the facility,</w:t>
      </w:r>
      <w:r w:rsidR="00BF6A5F" w:rsidRPr="00BF6A5F">
        <w:rPr>
          <w:vertAlign w:val="superscript"/>
        </w:rPr>
        <w:t>19,108,146,115</w:t>
      </w:r>
      <w:r>
        <w:t xml:space="preserve"> avoiding transfer of symptomatic patients,</w:t>
      </w:r>
      <w:r w:rsidR="00BF6A5F">
        <w:rPr>
          <w:vertAlign w:val="superscript"/>
        </w:rPr>
        <w:t>26,27,56</w:t>
      </w:r>
      <w:r>
        <w:t xml:space="preserve"> avoiding transfers from affected areas</w:t>
      </w:r>
      <w:r w:rsidR="00BF6A5F" w:rsidRPr="00BF6A5F">
        <w:rPr>
          <w:vertAlign w:val="superscript"/>
        </w:rPr>
        <w:t>20,29,30,37,121</w:t>
      </w:r>
      <w:r>
        <w:t xml:space="preserve"> and avoiding transfers to and from affected areas.</w:t>
      </w:r>
      <w:r w:rsidR="00BF6A5F" w:rsidRPr="00BF6A5F">
        <w:rPr>
          <w:vertAlign w:val="superscript"/>
        </w:rPr>
        <w:t>38,</w:t>
      </w:r>
      <w:r w:rsidR="00BF6A5F">
        <w:rPr>
          <w:vertAlign w:val="superscript"/>
        </w:rPr>
        <w:t>111</w:t>
      </w:r>
      <w:r>
        <w:t xml:space="preserve"> Two studies also mentioned that the transfer of symptomatic patient</w:t>
      </w:r>
      <w:r w:rsidR="00305F7A">
        <w:t>s</w:t>
      </w:r>
      <w:r>
        <w:t xml:space="preserve"> was only allowed in emergency and under strict contact precautions</w:t>
      </w:r>
      <w:r w:rsidR="00BF6A5F">
        <w:rPr>
          <w:vertAlign w:val="superscript"/>
        </w:rPr>
        <w:t>26</w:t>
      </w:r>
      <w:r>
        <w:t xml:space="preserve"> or only with permission from epidemiologists. Two studies also mentioned that transfer to another facility was avoided.</w:t>
      </w:r>
      <w:r w:rsidR="00BF6A5F">
        <w:rPr>
          <w:vertAlign w:val="superscript"/>
        </w:rPr>
        <w:t>108,146</w:t>
      </w:r>
      <w:r>
        <w:t xml:space="preserve"> These outbreaks studies affected between 14 and 355 cases (median 29), lasting three days to over two months (median 15 days, based on 13 studies reporting 16 outbreaks</w:t>
      </w:r>
      <w:r w:rsidR="00BF6A5F" w:rsidRPr="00BF6A5F">
        <w:rPr>
          <w:vertAlign w:val="superscript"/>
        </w:rPr>
        <w:t>19,20,26,27,29,30,37,38,56,108,111,115,121</w:t>
      </w:r>
      <w:r>
        <w:t>). In total, ten of these studies (72%) reported that avoiding transfers, together with other control measures, was beneficial in terminating an outbreak. Additionally, four of these studies</w:t>
      </w:r>
      <w:r w:rsidR="00BF6A5F" w:rsidRPr="00BF6A5F">
        <w:rPr>
          <w:vertAlign w:val="superscript"/>
        </w:rPr>
        <w:t>19,29,108,115</w:t>
      </w:r>
      <w:r>
        <w:t xml:space="preserve"> specifically reported that the outbreak was controlled with</w:t>
      </w:r>
      <w:r w:rsidR="005D7997">
        <w:t>in</w:t>
      </w:r>
      <w:r>
        <w:t xml:space="preserve"> one unit. The remaining studies did not mention whether cases occurred in other parts of the facility or in another facility after transfer restrictions have been implemented. Following the introduction of the control measures, the studies reported that the outbreaks affected </w:t>
      </w:r>
      <w:r w:rsidR="005D7997">
        <w:t xml:space="preserve">a </w:t>
      </w:r>
      <w:r>
        <w:t>further two to 51 cases (median ten cases based on six studies reporting seven outbreaks</w:t>
      </w:r>
      <w:r w:rsidR="00BF6A5F" w:rsidRPr="00BF6A5F">
        <w:rPr>
          <w:vertAlign w:val="superscript"/>
        </w:rPr>
        <w:t>19,20,29,30,37,56</w:t>
      </w:r>
      <w:r>
        <w:t xml:space="preserve">) and lasted </w:t>
      </w:r>
      <w:r w:rsidR="005D7997">
        <w:t xml:space="preserve">a </w:t>
      </w:r>
      <w:r>
        <w:t>further two to 16 days (median ten days, based on six studies reporting seven outbreaks</w:t>
      </w:r>
      <w:r w:rsidR="00BF6A5F" w:rsidRPr="00BF6A5F">
        <w:rPr>
          <w:vertAlign w:val="superscript"/>
        </w:rPr>
        <w:t>19,20,29,30,3</w:t>
      </w:r>
      <w:r w:rsidR="00BF6A5F">
        <w:rPr>
          <w:vertAlign w:val="superscript"/>
        </w:rPr>
        <w:t>8</w:t>
      </w:r>
      <w:r w:rsidR="00BF6A5F" w:rsidRPr="00BF6A5F">
        <w:rPr>
          <w:vertAlign w:val="superscript"/>
        </w:rPr>
        <w:t>,56</w:t>
      </w:r>
      <w:r w:rsidRPr="00001539">
        <w:t>)</w:t>
      </w:r>
      <w:r>
        <w:t xml:space="preserve">. </w:t>
      </w:r>
    </w:p>
    <w:p w14:paraId="72A2609F" w14:textId="4DBFD7C7" w:rsidR="00E87A11" w:rsidRDefault="00E87A11"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effectiveness of avoiding transfers outside healthcare settings.</w:t>
      </w:r>
    </w:p>
    <w:p w14:paraId="5A61A3B4" w14:textId="3D9F5FC5" w:rsidR="00E87A11" w:rsidRDefault="00E87A11" w:rsidP="00CF7116">
      <w:pPr>
        <w:spacing w:before="240" w:line="276" w:lineRule="auto"/>
      </w:pPr>
      <w:r w:rsidRPr="0095272F">
        <w:t xml:space="preserve">There was </w:t>
      </w:r>
      <w:r w:rsidR="00305F7A">
        <w:t xml:space="preserve">very </w:t>
      </w:r>
      <w:r w:rsidR="00305F7A" w:rsidRPr="00305F7A">
        <w:t>weak</w:t>
      </w:r>
      <w:r w:rsidR="00305F7A" w:rsidRPr="00B15BBD">
        <w:t xml:space="preserve"> evidence</w:t>
      </w:r>
      <w:r w:rsidR="00305F7A">
        <w:t xml:space="preserve"> </w:t>
      </w:r>
      <w:r>
        <w:t>from one outbreak study,</w:t>
      </w:r>
      <w:r w:rsidR="00BF6A5F">
        <w:rPr>
          <w:vertAlign w:val="superscript"/>
        </w:rPr>
        <w:t>34</w:t>
      </w:r>
      <w:r>
        <w:t xml:space="preserve"> which assessed the effectiveness of informing a receiving institution of an ongoing norovirus outbreak during transfers </w:t>
      </w:r>
      <w:r w:rsidR="005D7997">
        <w:t>between</w:t>
      </w:r>
      <w:r>
        <w:t xml:space="preserve"> healthcare settings. This outbreak, which occurred in a nursing home, affected 59 cases and lasted nine days. The authors reported that the receiving hospital experienced one case of norovirus infection in a healthcare worker who cared for one of the nursing home residents. No patients were affected, and transfers did not result in an outbreak occurring in the receiving hospital. </w:t>
      </w:r>
    </w:p>
    <w:p w14:paraId="6ED2189D" w14:textId="53C5CC27" w:rsidR="00E87A11" w:rsidRDefault="00E87A11"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effectiveness of informing the institutions of an ongoing outbreak in facilities outside healthcare settings.</w:t>
      </w:r>
    </w:p>
    <w:p w14:paraId="0D073247" w14:textId="7779F2E9" w:rsidR="00E87A11" w:rsidRPr="00305F7A" w:rsidRDefault="00FD2A1F" w:rsidP="00CF7116">
      <w:pPr>
        <w:spacing w:before="240" w:line="276" w:lineRule="auto"/>
        <w:rPr>
          <w:i/>
          <w:iCs/>
        </w:rPr>
      </w:pPr>
      <w:r>
        <w:rPr>
          <w:i/>
          <w:iCs/>
        </w:rPr>
        <w:t>The Working Party reviewed the above evidence and concluded that patient</w:t>
      </w:r>
      <w:r w:rsidR="00364DC7">
        <w:rPr>
          <w:i/>
          <w:iCs/>
        </w:rPr>
        <w:t>/residents/individual</w:t>
      </w:r>
      <w:r>
        <w:rPr>
          <w:i/>
          <w:iCs/>
        </w:rPr>
        <w:t xml:space="preserve"> transfers should be avoided if possible. </w:t>
      </w:r>
      <w:r w:rsidR="00305F7A" w:rsidRPr="00305F7A">
        <w:rPr>
          <w:i/>
          <w:iCs/>
        </w:rPr>
        <w:t>Any transfers which are deemed to be clinically necessary should take place as planned</w:t>
      </w:r>
      <w:r>
        <w:rPr>
          <w:i/>
          <w:iCs/>
        </w:rPr>
        <w:t>, however, they</w:t>
      </w:r>
      <w:r w:rsidR="00305F7A" w:rsidRPr="00305F7A">
        <w:rPr>
          <w:i/>
          <w:iCs/>
        </w:rPr>
        <w:t xml:space="preserve"> </w:t>
      </w:r>
      <w:r>
        <w:rPr>
          <w:i/>
          <w:iCs/>
        </w:rPr>
        <w:t xml:space="preserve">need to </w:t>
      </w:r>
      <w:r w:rsidR="00305F7A" w:rsidRPr="00305F7A">
        <w:rPr>
          <w:i/>
          <w:iCs/>
        </w:rPr>
        <w:t>involve good communication with the receiving team so that appropriate precautions can be implemented.</w:t>
      </w:r>
      <w:r w:rsidR="00DB1D4E">
        <w:rPr>
          <w:i/>
          <w:iCs/>
        </w:rPr>
        <w:t xml:space="preserve"> </w:t>
      </w:r>
    </w:p>
    <w:p w14:paraId="68208F5A" w14:textId="77777777" w:rsidR="00E87A11" w:rsidRDefault="00E87A11" w:rsidP="00CF7116">
      <w:pPr>
        <w:spacing w:before="240" w:line="276" w:lineRule="auto"/>
      </w:pPr>
    </w:p>
    <w:p w14:paraId="44286D6D" w14:textId="77777777" w:rsidR="00E87A11" w:rsidRPr="006245E4" w:rsidRDefault="00E87A11" w:rsidP="00CF7116">
      <w:pPr>
        <w:spacing w:line="276" w:lineRule="auto"/>
        <w:rPr>
          <w:b/>
          <w:bCs/>
        </w:rPr>
      </w:pPr>
      <w:r w:rsidRPr="006245E4">
        <w:rPr>
          <w:b/>
          <w:bCs/>
        </w:rPr>
        <w:t>Recommendations:</w:t>
      </w:r>
    </w:p>
    <w:p w14:paraId="052434F4" w14:textId="1B1F2FFD" w:rsidR="00305F7A" w:rsidRDefault="00FD2A1F" w:rsidP="00CF7116">
      <w:pPr>
        <w:spacing w:line="276" w:lineRule="auto"/>
        <w:rPr>
          <w:b/>
        </w:rPr>
      </w:pPr>
      <w:r w:rsidRPr="00FD2A1F">
        <w:rPr>
          <w:b/>
          <w:bCs/>
        </w:rPr>
        <w:t>25.1:</w:t>
      </w:r>
      <w:r>
        <w:t xml:space="preserve"> A</w:t>
      </w:r>
      <w:r w:rsidR="00305F7A" w:rsidRPr="00305F7A">
        <w:t xml:space="preserve">void transfers to/from affected areas during </w:t>
      </w:r>
      <w:r>
        <w:t>norovirus</w:t>
      </w:r>
      <w:r w:rsidR="00305F7A" w:rsidRPr="00305F7A">
        <w:t xml:space="preserve"> outbreaks. </w:t>
      </w:r>
      <w:r>
        <w:t xml:space="preserve">This includes transfers within and between the facilities. </w:t>
      </w:r>
    </w:p>
    <w:p w14:paraId="77B79011" w14:textId="21639A53" w:rsidR="00E87A11" w:rsidRPr="006245E4" w:rsidRDefault="00E87A11" w:rsidP="00CF7116">
      <w:pPr>
        <w:spacing w:line="276" w:lineRule="auto"/>
        <w:rPr>
          <w:b/>
          <w:bCs/>
        </w:rPr>
      </w:pPr>
      <w:r w:rsidRPr="006245E4">
        <w:rPr>
          <w:b/>
          <w:bCs/>
        </w:rPr>
        <w:t>Good practice points:</w:t>
      </w:r>
    </w:p>
    <w:p w14:paraId="26DD4285" w14:textId="2307271A" w:rsidR="00305F7A" w:rsidRDefault="00FD2A1F" w:rsidP="00CF7116">
      <w:pPr>
        <w:spacing w:before="240" w:line="276" w:lineRule="auto"/>
      </w:pPr>
      <w:r w:rsidRPr="00FD2A1F">
        <w:rPr>
          <w:b/>
          <w:bCs/>
        </w:rPr>
        <w:t xml:space="preserve">GPP 25.1: </w:t>
      </w:r>
      <w:r w:rsidR="00305F7A" w:rsidRPr="00305F7A">
        <w:t>Use a local risk assessment to determine whether the transfer of the individual is clinically necessary</w:t>
      </w:r>
    </w:p>
    <w:p w14:paraId="766F2E0C" w14:textId="4B26E78F" w:rsidR="00305F7A" w:rsidRDefault="00FD2A1F" w:rsidP="00CF7116">
      <w:pPr>
        <w:spacing w:before="240" w:line="276" w:lineRule="auto"/>
      </w:pPr>
      <w:r w:rsidRPr="00FD2A1F">
        <w:rPr>
          <w:b/>
          <w:bCs/>
        </w:rPr>
        <w:t>GPP 25.2:</w:t>
      </w:r>
      <w:r>
        <w:t xml:space="preserve"> </w:t>
      </w:r>
      <w:r w:rsidR="00305F7A">
        <w:t xml:space="preserve">Where a transfer is clinically necessary, </w:t>
      </w:r>
      <w:r>
        <w:t xml:space="preserve">inform the receiving institution/departments that the patient is infected with norovirus, </w:t>
      </w:r>
      <w:r w:rsidR="00305F7A">
        <w:t xml:space="preserve">so that </w:t>
      </w:r>
      <w:r>
        <w:t xml:space="preserve">appropriate </w:t>
      </w:r>
      <w:r w:rsidR="00305F7A">
        <w:t xml:space="preserve">precautions can be taken. </w:t>
      </w:r>
    </w:p>
    <w:p w14:paraId="581EC466" w14:textId="7DE1EB86" w:rsidR="00E87A11" w:rsidRDefault="00FD2A1F" w:rsidP="00CF7116">
      <w:pPr>
        <w:spacing w:before="240" w:line="276" w:lineRule="auto"/>
      </w:pPr>
      <w:r w:rsidRPr="00FD2A1F">
        <w:rPr>
          <w:b/>
          <w:bCs/>
        </w:rPr>
        <w:t xml:space="preserve">GPP 25.3: </w:t>
      </w:r>
      <w:r w:rsidR="00305F7A">
        <w:t xml:space="preserve">Where transfer is necessary, and where appropriate (e.g. for urgent radiology), consider placing patients last on the list in order to minimise opportunities to transmit </w:t>
      </w:r>
      <w:r>
        <w:t>norovirus</w:t>
      </w:r>
      <w:r w:rsidR="00305F7A">
        <w:t xml:space="preserve"> to others.</w:t>
      </w:r>
    </w:p>
    <w:p w14:paraId="529E92C8" w14:textId="2E5CF7A2" w:rsidR="00A418D4" w:rsidRPr="008F3499" w:rsidRDefault="00A418D4" w:rsidP="00A418D4">
      <w:pPr>
        <w:spacing w:before="240" w:line="276" w:lineRule="auto"/>
      </w:pPr>
      <w:r w:rsidRPr="008F3499">
        <w:rPr>
          <w:b/>
          <w:bCs/>
        </w:rPr>
        <w:t>GPP 25.</w:t>
      </w:r>
      <w:r>
        <w:rPr>
          <w:b/>
          <w:bCs/>
        </w:rPr>
        <w:t>4</w:t>
      </w:r>
      <w:r w:rsidRPr="008F3499">
        <w:rPr>
          <w:b/>
          <w:bCs/>
        </w:rPr>
        <w:t xml:space="preserve">: </w:t>
      </w:r>
      <w:r w:rsidRPr="00A418D4">
        <w:t>Ensure that appropriate cleaning takes place post transfer</w:t>
      </w:r>
      <w:r>
        <w:t>.</w:t>
      </w:r>
    </w:p>
    <w:p w14:paraId="6F8DF13F" w14:textId="77777777" w:rsidR="00E87A11" w:rsidRDefault="00E87A11" w:rsidP="00CF7116">
      <w:pPr>
        <w:spacing w:before="240" w:line="276" w:lineRule="auto"/>
      </w:pPr>
    </w:p>
    <w:p w14:paraId="49AD87E2" w14:textId="5C177E19" w:rsidR="00E758C0" w:rsidRDefault="00E758C0" w:rsidP="00CF7116">
      <w:pPr>
        <w:pStyle w:val="Heading2"/>
        <w:spacing w:before="240" w:after="160" w:line="276" w:lineRule="auto"/>
      </w:pPr>
      <w:r>
        <w:t xml:space="preserve">8.26 </w:t>
      </w:r>
      <w:bookmarkStart w:id="29" w:name="_Hlk110263127"/>
      <w:r w:rsidRPr="00E758C0">
        <w:t xml:space="preserve">When should </w:t>
      </w:r>
      <w:r w:rsidR="005D7997">
        <w:t>a</w:t>
      </w:r>
      <w:r w:rsidRPr="00E758C0">
        <w:t xml:space="preserve"> patient affected by norovirus be discharged home or to another facility?</w:t>
      </w:r>
      <w:bookmarkEnd w:id="29"/>
    </w:p>
    <w:p w14:paraId="2FE76417" w14:textId="2072D82F" w:rsidR="000E41A6" w:rsidRDefault="000E41A6" w:rsidP="00CF7116">
      <w:pPr>
        <w:spacing w:before="240" w:line="276" w:lineRule="auto"/>
      </w:pPr>
      <w:r w:rsidRPr="000E41A6">
        <w:t xml:space="preserve">Discharge of a patient with norovirus infection poses a risk of onwards transmission amongst patients and staff in the new location. The acute phase of norovirus infection is highly infectious, but if clinically appropriate, patients are typically discharged to their own home during any stage of illness. </w:t>
      </w:r>
      <w:r>
        <w:t>Discharge</w:t>
      </w:r>
      <w:r w:rsidRPr="000E41A6">
        <w:t xml:space="preserve"> of patients with norovirus infection to </w:t>
      </w:r>
      <w:r>
        <w:t>facilities</w:t>
      </w:r>
      <w:r w:rsidRPr="000E41A6">
        <w:t xml:space="preserve"> other than the patient’s home tends to be avoided. </w:t>
      </w:r>
      <w:r w:rsidR="00AC0F9C">
        <w:t>P</w:t>
      </w:r>
      <w:r w:rsidRPr="000E41A6">
        <w:t>revious guidelines</w:t>
      </w:r>
      <w:r w:rsidR="00AC0F9C" w:rsidRPr="00AC0F9C">
        <w:rPr>
          <w:vertAlign w:val="superscript"/>
        </w:rPr>
        <w:t>1</w:t>
      </w:r>
      <w:r w:rsidRPr="000E41A6">
        <w:t xml:space="preserve"> distinguished between three scenarios to facilitate discharge of patients with norovirus infection where feasible whilst minimising the risk to others. Discharge to a nursing or residential home which is not known to be part of an outbreak should be avoided. If the nursing/residential home is known to be part of an outbreak then discharge may go ahead provided the patient’s care needs can be met. Transfer to other community care facilities and other hospitals </w:t>
      </w:r>
      <w:r>
        <w:t>should also</w:t>
      </w:r>
      <w:r w:rsidRPr="000E41A6">
        <w:t xml:space="preserve"> be avoided until the patient has been asymptomatic for 48 hours. </w:t>
      </w:r>
    </w:p>
    <w:p w14:paraId="19A8A582" w14:textId="6FE44CB4" w:rsidR="00E87A11" w:rsidRDefault="00E87A11" w:rsidP="00CF7116">
      <w:pPr>
        <w:spacing w:before="240" w:line="276" w:lineRule="auto"/>
      </w:pPr>
      <w:r w:rsidRPr="0095272F">
        <w:t xml:space="preserve">There was </w:t>
      </w:r>
      <w:r w:rsidRPr="00F9390D">
        <w:t>very weak</w:t>
      </w:r>
      <w:r w:rsidRPr="00B15BBD">
        <w:t xml:space="preserve"> evidence</w:t>
      </w:r>
      <w:r>
        <w:t xml:space="preserve"> from five outbreaks studies</w:t>
      </w:r>
      <w:r w:rsidR="00C06178">
        <w:t>,</w:t>
      </w:r>
      <w:r w:rsidR="00C06178" w:rsidRPr="00C06178">
        <w:rPr>
          <w:vertAlign w:val="superscript"/>
        </w:rPr>
        <w:t>19,25,29-31</w:t>
      </w:r>
      <w:r>
        <w:t xml:space="preserve"> which reported using different approaches to discharging patients during norovirus outbreaks in healthcare settings. The studies described discharging all symptomatic patients and their contacts early if possible,</w:t>
      </w:r>
      <w:r w:rsidR="00C06178">
        <w:rPr>
          <w:vertAlign w:val="superscript"/>
        </w:rPr>
        <w:t>25</w:t>
      </w:r>
      <w:r>
        <w:t xml:space="preserve"> discharging patients 48-72 hours after last symptoms,</w:t>
      </w:r>
      <w:r w:rsidR="00C06178">
        <w:rPr>
          <w:vertAlign w:val="superscript"/>
        </w:rPr>
        <w:t>19,29,30</w:t>
      </w:r>
      <w:r>
        <w:t xml:space="preserve"> and a blanket approach of no patients being discharged from the unit until outbreak ended.</w:t>
      </w:r>
      <w:r w:rsidR="00C06178">
        <w:rPr>
          <w:vertAlign w:val="superscript"/>
        </w:rPr>
        <w:t>31</w:t>
      </w:r>
      <w:r>
        <w:t xml:space="preserve"> N</w:t>
      </w:r>
      <w:r w:rsidR="00F9390D">
        <w:t>one</w:t>
      </w:r>
      <w:r>
        <w:t xml:space="preserve"> of these studies reported whether or not there were any benefits of this approach for the facility in which an outbreak occurred</w:t>
      </w:r>
      <w:r w:rsidR="00F9390D">
        <w:t>,</w:t>
      </w:r>
      <w:r>
        <w:t xml:space="preserve"> nor for the receiving facility. </w:t>
      </w:r>
    </w:p>
    <w:p w14:paraId="75E2294A" w14:textId="123F4F53" w:rsidR="00E87A11" w:rsidRPr="00791A82" w:rsidRDefault="00E87A11"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effectiveness of avoiding discharges outside healthcare settings.</w:t>
      </w:r>
    </w:p>
    <w:p w14:paraId="2AA78A84" w14:textId="2C454A7F" w:rsidR="00EA5AEB" w:rsidRPr="00EA5AEB" w:rsidRDefault="00DB1D4E" w:rsidP="00EA5AEB">
      <w:pPr>
        <w:spacing w:before="240" w:line="276" w:lineRule="auto"/>
        <w:rPr>
          <w:i/>
          <w:iCs/>
        </w:rPr>
      </w:pPr>
      <w:bookmarkStart w:id="30" w:name="_Hlk113359108"/>
      <w:r w:rsidRPr="00DB1D4E">
        <w:rPr>
          <w:i/>
          <w:iCs/>
        </w:rPr>
        <w:lastRenderedPageBreak/>
        <w:t xml:space="preserve">The Working Party agreed that despite very little evidence, discharge to another facility should </w:t>
      </w:r>
      <w:r w:rsidR="00364DC7">
        <w:rPr>
          <w:i/>
          <w:iCs/>
        </w:rPr>
        <w:t>not ta</w:t>
      </w:r>
      <w:r w:rsidR="00EA5AEB">
        <w:rPr>
          <w:i/>
          <w:iCs/>
        </w:rPr>
        <w:t>k</w:t>
      </w:r>
      <w:r w:rsidR="00364DC7">
        <w:rPr>
          <w:i/>
          <w:iCs/>
        </w:rPr>
        <w:t>e place for</w:t>
      </w:r>
      <w:r>
        <w:rPr>
          <w:i/>
          <w:iCs/>
        </w:rPr>
        <w:t xml:space="preserve"> 48 hours after symptoms</w:t>
      </w:r>
      <w:r w:rsidR="005D7997">
        <w:rPr>
          <w:i/>
          <w:iCs/>
        </w:rPr>
        <w:t xml:space="preserve"> have resolved for</w:t>
      </w:r>
      <w:r>
        <w:rPr>
          <w:i/>
          <w:iCs/>
        </w:rPr>
        <w:t xml:space="preserve"> all </w:t>
      </w:r>
      <w:r w:rsidR="00364DC7">
        <w:rPr>
          <w:i/>
          <w:iCs/>
        </w:rPr>
        <w:t>individuals</w:t>
      </w:r>
      <w:r>
        <w:rPr>
          <w:i/>
          <w:iCs/>
        </w:rPr>
        <w:t xml:space="preserve"> </w:t>
      </w:r>
      <w:r w:rsidR="00364DC7">
        <w:rPr>
          <w:i/>
          <w:iCs/>
        </w:rPr>
        <w:t>affected by</w:t>
      </w:r>
      <w:r>
        <w:rPr>
          <w:i/>
          <w:iCs/>
        </w:rPr>
        <w:t xml:space="preserve"> norovirus</w:t>
      </w:r>
      <w:r w:rsidRPr="00DB1D4E">
        <w:rPr>
          <w:i/>
          <w:iCs/>
        </w:rPr>
        <w:t xml:space="preserve">. As </w:t>
      </w:r>
      <w:r w:rsidRPr="00556D11">
        <w:rPr>
          <w:i/>
          <w:iCs/>
        </w:rPr>
        <w:t xml:space="preserve">with transfers, the Working Party recognised that this may not always be possible and that a clinical need may arise when </w:t>
      </w:r>
      <w:r w:rsidR="00364DC7" w:rsidRPr="00556D11">
        <w:rPr>
          <w:i/>
          <w:iCs/>
        </w:rPr>
        <w:t>individual</w:t>
      </w:r>
      <w:r w:rsidRPr="00556D11">
        <w:rPr>
          <w:i/>
          <w:iCs/>
        </w:rPr>
        <w:t xml:space="preserve">s need to be discharged to another </w:t>
      </w:r>
      <w:r w:rsidR="00364DC7" w:rsidRPr="00556D11">
        <w:rPr>
          <w:i/>
          <w:iCs/>
        </w:rPr>
        <w:t xml:space="preserve">care </w:t>
      </w:r>
      <w:r w:rsidRPr="00556D11">
        <w:rPr>
          <w:i/>
          <w:iCs/>
        </w:rPr>
        <w:t xml:space="preserve">facility earlier. </w:t>
      </w:r>
      <w:r w:rsidR="00EA5AEB" w:rsidRPr="00556D11">
        <w:rPr>
          <w:i/>
          <w:iCs/>
        </w:rPr>
        <w:t xml:space="preserve">This includes a discharge to any new healthcare setting, e.g. new residential home placement, rehabilitation hospital or a community bed. </w:t>
      </w:r>
      <w:r w:rsidRPr="00556D11">
        <w:rPr>
          <w:i/>
          <w:iCs/>
        </w:rPr>
        <w:t>Th</w:t>
      </w:r>
      <w:r w:rsidR="00EA5AEB" w:rsidRPr="00556D11">
        <w:rPr>
          <w:i/>
          <w:iCs/>
        </w:rPr>
        <w:t>e</w:t>
      </w:r>
      <w:r w:rsidRPr="00556D11">
        <w:rPr>
          <w:i/>
          <w:iCs/>
        </w:rPr>
        <w:t xml:space="preserve"> decision </w:t>
      </w:r>
      <w:r w:rsidR="00EA5AEB" w:rsidRPr="00556D11">
        <w:rPr>
          <w:i/>
          <w:iCs/>
        </w:rPr>
        <w:t xml:space="preserve">for a discharge earlier than 48 hours after symptom resolution </w:t>
      </w:r>
      <w:r w:rsidRPr="00556D11">
        <w:rPr>
          <w:i/>
          <w:iCs/>
        </w:rPr>
        <w:t xml:space="preserve">needs to be carefully balanced and, if </w:t>
      </w:r>
      <w:r w:rsidR="00EA5AEB" w:rsidRPr="00556D11">
        <w:rPr>
          <w:i/>
          <w:iCs/>
        </w:rPr>
        <w:t xml:space="preserve">the </w:t>
      </w:r>
      <w:r w:rsidRPr="00556D11">
        <w:rPr>
          <w:i/>
          <w:iCs/>
        </w:rPr>
        <w:t xml:space="preserve">discharge is </w:t>
      </w:r>
      <w:r w:rsidR="00EA5AEB" w:rsidRPr="00556D11">
        <w:rPr>
          <w:i/>
          <w:iCs/>
        </w:rPr>
        <w:t xml:space="preserve">considered </w:t>
      </w:r>
      <w:r w:rsidRPr="00556D11">
        <w:rPr>
          <w:i/>
          <w:iCs/>
        </w:rPr>
        <w:t xml:space="preserve">necessary, the receiving facility needs to be informed so that appropriate arrangements can be made. When </w:t>
      </w:r>
      <w:r w:rsidR="00364DC7" w:rsidRPr="00556D11">
        <w:rPr>
          <w:i/>
          <w:iCs/>
        </w:rPr>
        <w:t>the individual</w:t>
      </w:r>
      <w:r w:rsidRPr="00556D11">
        <w:rPr>
          <w:i/>
          <w:iCs/>
        </w:rPr>
        <w:t xml:space="preserve"> is going to be discharged </w:t>
      </w:r>
      <w:r w:rsidR="00364DC7" w:rsidRPr="00556D11">
        <w:rPr>
          <w:i/>
          <w:iCs/>
        </w:rPr>
        <w:t>to a non-residential care setting</w:t>
      </w:r>
      <w:r w:rsidRPr="00556D11">
        <w:rPr>
          <w:i/>
          <w:iCs/>
        </w:rPr>
        <w:t xml:space="preserve">, the Working Party agreed that there is no reason to delay this process if a patient is otherwise medically </w:t>
      </w:r>
      <w:r w:rsidR="00FB0682" w:rsidRPr="00556D11">
        <w:rPr>
          <w:i/>
          <w:iCs/>
        </w:rPr>
        <w:t>stable (fit) for discharge</w:t>
      </w:r>
      <w:r w:rsidR="00EA5AEB" w:rsidRPr="00556D11">
        <w:rPr>
          <w:i/>
          <w:iCs/>
        </w:rPr>
        <w:t xml:space="preserve"> and when there is no clinically vulnerable person in the same household</w:t>
      </w:r>
      <w:r w:rsidRPr="00556D11">
        <w:rPr>
          <w:i/>
          <w:iCs/>
        </w:rPr>
        <w:t xml:space="preserve">. </w:t>
      </w:r>
      <w:r w:rsidR="00EA5AEB" w:rsidRPr="00556D11">
        <w:rPr>
          <w:i/>
          <w:iCs/>
        </w:rPr>
        <w:t xml:space="preserve">In situations where the patient is assessed in an A&amp;E or ambulatory assessment unit (AAU) and deemed not to need hospital admission, the Working Party agreed that this is considered a non-admission and not a discharge. In these situations, returning the individual back to </w:t>
      </w:r>
      <w:r w:rsidR="00556D11">
        <w:rPr>
          <w:i/>
          <w:iCs/>
        </w:rPr>
        <w:t xml:space="preserve">a </w:t>
      </w:r>
      <w:r w:rsidR="00EA5AEB" w:rsidRPr="00556D11">
        <w:rPr>
          <w:i/>
          <w:iCs/>
        </w:rPr>
        <w:t>long term residential facility should still be considered appropriate (as norovirus was likely acquired in patient’s own residential institution), especially if there is a known outbreak at that institution. This is in line with Good Practice Point 3.1, which recommends that admission should be avoided to reduce the chances of hospital-based outbreaks.</w:t>
      </w:r>
      <w:r w:rsidR="00EA5AEB" w:rsidRPr="00EA5AEB">
        <w:rPr>
          <w:i/>
          <w:iCs/>
        </w:rPr>
        <w:t xml:space="preserve"> </w:t>
      </w:r>
    </w:p>
    <w:bookmarkEnd w:id="30"/>
    <w:p w14:paraId="7879A4D8" w14:textId="77777777" w:rsidR="00EA5AEB" w:rsidRPr="00EA5AEB" w:rsidRDefault="00EA5AEB" w:rsidP="00EA5AEB">
      <w:pPr>
        <w:spacing w:before="240" w:line="276" w:lineRule="auto"/>
        <w:rPr>
          <w:i/>
          <w:iCs/>
        </w:rPr>
      </w:pPr>
    </w:p>
    <w:p w14:paraId="2448475C" w14:textId="77777777" w:rsidR="00E87A11" w:rsidRPr="006245E4" w:rsidRDefault="00E87A11" w:rsidP="00CF7116">
      <w:pPr>
        <w:spacing w:line="276" w:lineRule="auto"/>
        <w:rPr>
          <w:b/>
          <w:bCs/>
        </w:rPr>
      </w:pPr>
      <w:r w:rsidRPr="006245E4">
        <w:rPr>
          <w:b/>
          <w:bCs/>
        </w:rPr>
        <w:t>Recommendations:</w:t>
      </w:r>
    </w:p>
    <w:p w14:paraId="03E653D1" w14:textId="58FC2CFC" w:rsidR="00E87A11" w:rsidRPr="006245E4" w:rsidRDefault="00DB1D4E" w:rsidP="00CF7116">
      <w:pPr>
        <w:spacing w:before="240" w:line="276" w:lineRule="auto"/>
      </w:pPr>
      <w:r w:rsidRPr="00DB1D4E">
        <w:rPr>
          <w:b/>
          <w:bCs/>
        </w:rPr>
        <w:t>26.1:</w:t>
      </w:r>
      <w:r>
        <w:t xml:space="preserve"> No recommendation</w:t>
      </w:r>
    </w:p>
    <w:p w14:paraId="362A2E0D" w14:textId="511F9807" w:rsidR="00E87A11" w:rsidRPr="006245E4" w:rsidRDefault="00E87A11" w:rsidP="00CF7116">
      <w:pPr>
        <w:spacing w:line="276" w:lineRule="auto"/>
        <w:rPr>
          <w:b/>
          <w:bCs/>
        </w:rPr>
      </w:pPr>
      <w:r w:rsidRPr="006245E4">
        <w:rPr>
          <w:b/>
          <w:bCs/>
        </w:rPr>
        <w:t>Good practice points:</w:t>
      </w:r>
    </w:p>
    <w:p w14:paraId="40A7E07A" w14:textId="1B249265" w:rsidR="00F9390D" w:rsidRDefault="00DB1D4E" w:rsidP="00CF7116">
      <w:pPr>
        <w:spacing w:line="276" w:lineRule="auto"/>
      </w:pPr>
      <w:r w:rsidRPr="00DB1D4E">
        <w:rPr>
          <w:b/>
          <w:bCs/>
        </w:rPr>
        <w:t>GPP 26.1:</w:t>
      </w:r>
      <w:r>
        <w:t xml:space="preserve"> </w:t>
      </w:r>
      <w:r w:rsidR="00F9390D">
        <w:t xml:space="preserve">Unless the individual risk assessment dictates otherwise, avoid discharging individuals with known or suspected </w:t>
      </w:r>
      <w:r>
        <w:t>norovirus infection</w:t>
      </w:r>
      <w:r w:rsidR="00F9390D">
        <w:t xml:space="preserve"> to other to another facility until 48 hours have elapsed since the last episode of diarrhoea or vomiting</w:t>
      </w:r>
    </w:p>
    <w:p w14:paraId="3E7BC68E" w14:textId="056B1E29" w:rsidR="00DB1D4E" w:rsidRDefault="00DB1D4E" w:rsidP="00CF7116">
      <w:pPr>
        <w:spacing w:line="276" w:lineRule="auto"/>
      </w:pPr>
      <w:r w:rsidRPr="00DB1D4E">
        <w:rPr>
          <w:b/>
          <w:bCs/>
        </w:rPr>
        <w:t>GPP 26.2:</w:t>
      </w:r>
      <w:r>
        <w:t xml:space="preserve"> If the patient with norovirus infection is discharged to another facility sooner than 48 hours after symptoms cease, inform the receiving facilities so that appropriate arrangements can be made. </w:t>
      </w:r>
    </w:p>
    <w:p w14:paraId="035B8EC0" w14:textId="0702E10A" w:rsidR="00F9390D" w:rsidRDefault="00DB1D4E" w:rsidP="00CF7116">
      <w:pPr>
        <w:spacing w:line="276" w:lineRule="auto"/>
      </w:pPr>
      <w:r w:rsidRPr="00DB1D4E">
        <w:rPr>
          <w:b/>
          <w:bCs/>
        </w:rPr>
        <w:t>GPP 26.3:</w:t>
      </w:r>
      <w:r>
        <w:t xml:space="preserve"> If receiving discharged patients with confirmed or suspected norovirus infection from other facilities, ensure </w:t>
      </w:r>
      <w:r w:rsidR="005D7997">
        <w:t xml:space="preserve">that </w:t>
      </w:r>
      <w:r w:rsidR="00F9390D">
        <w:t>appropriate arrangement</w:t>
      </w:r>
      <w:r>
        <w:t xml:space="preserve">s are in place so that norovirus is not transmitted to others </w:t>
      </w:r>
      <w:r w:rsidR="00F9390D">
        <w:t xml:space="preserve">(e.g. isolation </w:t>
      </w:r>
      <w:r>
        <w:t xml:space="preserve">is recommended </w:t>
      </w:r>
      <w:r w:rsidR="00F9390D">
        <w:t>for at least 24 hours for asymptomatic</w:t>
      </w:r>
      <w:r>
        <w:t>/suspected patients</w:t>
      </w:r>
      <w:r w:rsidR="00F9390D">
        <w:t xml:space="preserve"> and 48 </w:t>
      </w:r>
      <w:r w:rsidR="001128A6">
        <w:t>hours</w:t>
      </w:r>
      <w:r w:rsidR="00F9390D">
        <w:t xml:space="preserve"> after the symptoms </w:t>
      </w:r>
      <w:r w:rsidR="005D7997">
        <w:t xml:space="preserve">have resolved </w:t>
      </w:r>
      <w:r w:rsidR="00F9390D">
        <w:t xml:space="preserve">for </w:t>
      </w:r>
      <w:r>
        <w:t>infected/confirmed patients</w:t>
      </w:r>
      <w:r w:rsidR="00F9390D">
        <w:t>)</w:t>
      </w:r>
    </w:p>
    <w:p w14:paraId="5629B8F0" w14:textId="77777777" w:rsidR="00E87A11" w:rsidRDefault="00E87A11" w:rsidP="00CF7116">
      <w:pPr>
        <w:spacing w:before="240" w:line="276" w:lineRule="auto"/>
      </w:pPr>
    </w:p>
    <w:p w14:paraId="429D69EC" w14:textId="1326B926" w:rsidR="00E758C0" w:rsidRDefault="00E758C0" w:rsidP="00CF7116">
      <w:pPr>
        <w:pStyle w:val="Heading2"/>
        <w:spacing w:before="240" w:after="160" w:line="276" w:lineRule="auto"/>
      </w:pPr>
      <w:r>
        <w:t>8.27</w:t>
      </w:r>
      <w:r w:rsidRPr="00E758C0">
        <w:tab/>
      </w:r>
      <w:bookmarkStart w:id="31" w:name="_Hlk110263146"/>
      <w:r w:rsidRPr="00E758C0">
        <w:t>What is the clinical effectiveness of different medications given to alleviate the symptoms of norovirus infection?</w:t>
      </w:r>
      <w:bookmarkEnd w:id="31"/>
    </w:p>
    <w:p w14:paraId="23454EB3" w14:textId="52E8765D" w:rsidR="000E41A6" w:rsidRDefault="000E41A6" w:rsidP="00CF7116">
      <w:pPr>
        <w:spacing w:before="240" w:line="276" w:lineRule="auto"/>
      </w:pPr>
      <w:r w:rsidRPr="000E41A6">
        <w:t xml:space="preserve">Norovirus infection is usually self-limited and therefore typically treated with supportive measures </w:t>
      </w:r>
      <w:r>
        <w:t>such as</w:t>
      </w:r>
      <w:r w:rsidRPr="000E41A6">
        <w:t xml:space="preserve"> prevention of the dehydration, electrolyte disturbance, and malnutrition which can be seen </w:t>
      </w:r>
      <w:r w:rsidRPr="000E41A6">
        <w:lastRenderedPageBreak/>
        <w:t xml:space="preserve">in severe cases. No effective vaccines or antimicrobial drugs are currently licensed for use against norovirus infection. </w:t>
      </w:r>
      <w:r>
        <w:t>For</w:t>
      </w:r>
      <w:r w:rsidRPr="000E41A6">
        <w:t xml:space="preserve"> symptom control, previous guidelines</w:t>
      </w:r>
      <w:r w:rsidR="00AC0F9C" w:rsidRPr="00AC0F9C">
        <w:rPr>
          <w:vertAlign w:val="superscript"/>
        </w:rPr>
        <w:t>1</w:t>
      </w:r>
      <w:r w:rsidRPr="000E41A6">
        <w:t xml:space="preserve"> did not recommend the routine use of anti-emetics due to a lack of evidence of the efficacy of these drugs in adults and concerns regarding conflicting evidence</w:t>
      </w:r>
      <w:r>
        <w:t>, especially</w:t>
      </w:r>
      <w:r w:rsidRPr="000E41A6">
        <w:t xml:space="preserve"> side effects when used in children. Similarly, anti-motility agents were not recommended routinely but</w:t>
      </w:r>
      <w:r>
        <w:t xml:space="preserve"> that they </w:t>
      </w:r>
      <w:r w:rsidRPr="000E41A6">
        <w:t>may be used in practice when other causes of diarrhoea had been excluded (i</w:t>
      </w:r>
      <w:r>
        <w:t>.e.</w:t>
      </w:r>
      <w:r w:rsidRPr="000E41A6">
        <w:t xml:space="preserve"> </w:t>
      </w:r>
      <w:r w:rsidRPr="000E41A6">
        <w:rPr>
          <w:i/>
          <w:iCs/>
        </w:rPr>
        <w:t>Clostridioides difficile</w:t>
      </w:r>
      <w:r w:rsidRPr="000E41A6">
        <w:t>, where use may be harmful). In practice, both anti-emetics and anti-motility agents are sometimes used in specific circumstances such as if a patient is volume</w:t>
      </w:r>
      <w:r>
        <w:t>-</w:t>
      </w:r>
      <w:r w:rsidRPr="000E41A6">
        <w:t xml:space="preserve">depleted and cannot tolerate oral rehydration, particularly if they cannot be hospitalised. </w:t>
      </w:r>
      <w:r w:rsidR="00AC0F9C">
        <w:t>P</w:t>
      </w:r>
      <w:r w:rsidRPr="000E41A6">
        <w:t>revious guidelines</w:t>
      </w:r>
      <w:r w:rsidR="00AC0F9C" w:rsidRPr="00AC0F9C">
        <w:rPr>
          <w:vertAlign w:val="superscript"/>
        </w:rPr>
        <w:t>1</w:t>
      </w:r>
      <w:r w:rsidRPr="000E41A6">
        <w:t xml:space="preserve"> also expressed concern regarding the masking of infectivity of patients with the use of anti-emetic and anti-motility medications.</w:t>
      </w:r>
    </w:p>
    <w:p w14:paraId="4B230A91" w14:textId="50632D8A" w:rsidR="00E87A11" w:rsidRDefault="00E87A11" w:rsidP="00CF7116">
      <w:pPr>
        <w:spacing w:before="240" w:line="276" w:lineRule="auto"/>
      </w:pPr>
      <w:r w:rsidRPr="0095272F">
        <w:t xml:space="preserve">There was </w:t>
      </w:r>
      <w:r w:rsidRPr="00DB6D05">
        <w:t>weak</w:t>
      </w:r>
      <w:r w:rsidRPr="00B15BBD">
        <w:t xml:space="preserve"> evidence</w:t>
      </w:r>
      <w:r>
        <w:t xml:space="preserve"> of benefit from one RCT</w:t>
      </w:r>
      <w:r w:rsidR="00DC1B36">
        <w:rPr>
          <w:vertAlign w:val="superscript"/>
        </w:rPr>
        <w:t>270</w:t>
      </w:r>
      <w:r>
        <w:t xml:space="preserve"> which assessed the effectiveness of anti-viral medication (n</w:t>
      </w:r>
      <w:r w:rsidRPr="00D85428">
        <w:t>itazoxanide</w:t>
      </w:r>
      <w:r>
        <w:t xml:space="preserve">) to reduce the symptom duration in norovirus infected patients. This was a small study which included patients with either rotavirus, norovirus or astrovirus; the subset of the population with norovirus was six and seven cases in </w:t>
      </w:r>
      <w:r w:rsidR="00DB6D05">
        <w:t xml:space="preserve">the </w:t>
      </w:r>
      <w:r>
        <w:t>treatment and placebo group</w:t>
      </w:r>
      <w:r w:rsidR="00DB6D05">
        <w:t>s</w:t>
      </w:r>
      <w:r>
        <w:t xml:space="preserve"> respectively. The study reported that</w:t>
      </w:r>
      <w:r w:rsidRPr="00D85428">
        <w:t xml:space="preserve"> </w:t>
      </w:r>
      <w:r>
        <w:t>the m</w:t>
      </w:r>
      <w:r w:rsidRPr="00D85428">
        <w:t>edian</w:t>
      </w:r>
      <w:r>
        <w:t xml:space="preserve"> number of </w:t>
      </w:r>
      <w:r w:rsidRPr="00D85428">
        <w:t>days from first dose to symptom resolution</w:t>
      </w:r>
      <w:r>
        <w:t xml:space="preserve"> (norovirus patients only) in a treatment group, given 500mg nitazoxanide twice a day for three days, was </w:t>
      </w:r>
      <w:r w:rsidRPr="00D85428">
        <w:t xml:space="preserve">1.5 </w:t>
      </w:r>
      <w:r>
        <w:t xml:space="preserve">days </w:t>
      </w:r>
      <w:r w:rsidRPr="00D85428">
        <w:t>(</w:t>
      </w:r>
      <w:r>
        <w:t xml:space="preserve">IQR </w:t>
      </w:r>
      <w:r w:rsidRPr="00D85428">
        <w:t>1.5-1.5)</w:t>
      </w:r>
      <w:r>
        <w:t xml:space="preserve">, while it was </w:t>
      </w:r>
      <w:r w:rsidRPr="00D85428">
        <w:t xml:space="preserve">2.5 </w:t>
      </w:r>
      <w:r>
        <w:t xml:space="preserve">days </w:t>
      </w:r>
      <w:r w:rsidRPr="00D85428">
        <w:t>(</w:t>
      </w:r>
      <w:r>
        <w:t xml:space="preserve">IQR </w:t>
      </w:r>
      <w:r w:rsidRPr="00D85428">
        <w:t>1.5-6.5</w:t>
      </w:r>
      <w:r>
        <w:t>,</w:t>
      </w:r>
      <w:r w:rsidRPr="00D85428">
        <w:t xml:space="preserve"> p=0.0295)</w:t>
      </w:r>
      <w:r>
        <w:t xml:space="preserve"> in the group which received the same schedule with placebo. The authors did not report whether there were any differences in the severity of the symptoms between the groups. There were some adverse events related to treatment, which</w:t>
      </w:r>
      <w:r w:rsidRPr="00D85428">
        <w:t xml:space="preserve"> included </w:t>
      </w:r>
      <w:r>
        <w:t>one case with</w:t>
      </w:r>
      <w:r w:rsidRPr="00D85428">
        <w:t xml:space="preserve"> abdominal pain and </w:t>
      </w:r>
      <w:r>
        <w:t>one case with</w:t>
      </w:r>
      <w:r w:rsidRPr="00D85428">
        <w:t xml:space="preserve"> headache in </w:t>
      </w:r>
      <w:r>
        <w:t>the nitazoxanide</w:t>
      </w:r>
      <w:r w:rsidRPr="00D85428">
        <w:t xml:space="preserve"> group</w:t>
      </w:r>
      <w:r w:rsidR="005D7997">
        <w:t>,</w:t>
      </w:r>
      <w:r w:rsidRPr="00D85428">
        <w:t xml:space="preserve"> a</w:t>
      </w:r>
      <w:r>
        <w:t xml:space="preserve">s well as one case each of </w:t>
      </w:r>
      <w:r w:rsidRPr="00D85428">
        <w:t xml:space="preserve">abdominal pain, nausea, dyspepsia and dysuria in placebo </w:t>
      </w:r>
      <w:r>
        <w:t>group. However,</w:t>
      </w:r>
      <w:r w:rsidRPr="00D85428">
        <w:t xml:space="preserve"> it is not possible to determine whether these were </w:t>
      </w:r>
      <w:r>
        <w:t>norovirus</w:t>
      </w:r>
      <w:r w:rsidRPr="00D85428">
        <w:t xml:space="preserve"> infected patients.</w:t>
      </w:r>
    </w:p>
    <w:p w14:paraId="1A5943DB" w14:textId="0C1F84A2" w:rsidR="00E87A11" w:rsidRDefault="00E87A11" w:rsidP="00CF7116">
      <w:pPr>
        <w:spacing w:before="240" w:line="276" w:lineRule="auto"/>
      </w:pPr>
      <w:bookmarkStart w:id="32" w:name="_Hlk108184741"/>
      <w:r w:rsidRPr="0095272F">
        <w:t xml:space="preserve">There was </w:t>
      </w:r>
      <w:r w:rsidR="00DB6D05">
        <w:t>moderate</w:t>
      </w:r>
      <w:r w:rsidR="00DB6D05" w:rsidRPr="00B15BBD">
        <w:t xml:space="preserve"> evidence</w:t>
      </w:r>
      <w:r w:rsidR="00DB6D05">
        <w:t xml:space="preserve"> </w:t>
      </w:r>
      <w:r>
        <w:t>of benefit from one RCT</w:t>
      </w:r>
      <w:r>
        <w:rPr>
          <w:vertAlign w:val="superscript"/>
        </w:rPr>
        <w:t>2</w:t>
      </w:r>
      <w:r w:rsidR="00DC1B36">
        <w:rPr>
          <w:vertAlign w:val="superscript"/>
        </w:rPr>
        <w:t>71</w:t>
      </w:r>
      <w:r>
        <w:t xml:space="preserve"> and one cross-sectional study</w:t>
      </w:r>
      <w:r w:rsidR="00DC1B36">
        <w:rPr>
          <w:vertAlign w:val="superscript"/>
        </w:rPr>
        <w:t>272</w:t>
      </w:r>
      <w:r>
        <w:t xml:space="preserve"> which assessed the effectiveness of </w:t>
      </w:r>
      <w:bookmarkEnd w:id="32"/>
      <w:r>
        <w:t xml:space="preserve">bowel movement-regulating medication on </w:t>
      </w:r>
      <w:r w:rsidR="005D7997">
        <w:t xml:space="preserve">the </w:t>
      </w:r>
      <w:r>
        <w:t>severity</w:t>
      </w:r>
      <w:r w:rsidRPr="00D85428">
        <w:rPr>
          <w:vertAlign w:val="superscript"/>
        </w:rPr>
        <w:t>2</w:t>
      </w:r>
      <w:r w:rsidR="00DC1B36">
        <w:rPr>
          <w:vertAlign w:val="superscript"/>
        </w:rPr>
        <w:t>71,272</w:t>
      </w:r>
      <w:r>
        <w:t xml:space="preserve"> and duration</w:t>
      </w:r>
      <w:r w:rsidRPr="00D85428">
        <w:rPr>
          <w:vertAlign w:val="superscript"/>
        </w:rPr>
        <w:t>2</w:t>
      </w:r>
      <w:r w:rsidR="00DC1B36">
        <w:rPr>
          <w:vertAlign w:val="superscript"/>
        </w:rPr>
        <w:t>71</w:t>
      </w:r>
      <w:r>
        <w:t xml:space="preserve"> of norovirus symptoms. The RCT, which used </w:t>
      </w:r>
      <w:bookmarkStart w:id="33" w:name="_Hlk115175475"/>
      <w:r w:rsidRPr="00D85428">
        <w:t>bismuth subsalicylate</w:t>
      </w:r>
      <w:r>
        <w:t xml:space="preserve"> </w:t>
      </w:r>
      <w:bookmarkEnd w:id="33"/>
      <w:r>
        <w:t xml:space="preserve">(BSS) or placebo in </w:t>
      </w:r>
      <w:r w:rsidRPr="00D85428">
        <w:t xml:space="preserve">volunteers inoculated with </w:t>
      </w:r>
      <w:r>
        <w:t>norovirus</w:t>
      </w:r>
      <w:r w:rsidRPr="00D85428">
        <w:t xml:space="preserve"> </w:t>
      </w:r>
      <w:r w:rsidR="00DB6D05">
        <w:t>(n= 17 and 15 participants respectively, who were subsequently infected with norovirus)</w:t>
      </w:r>
      <w:r w:rsidR="005D7997">
        <w:t>,</w:t>
      </w:r>
      <w:r w:rsidR="00DB6D05">
        <w:t xml:space="preserve"> </w:t>
      </w:r>
      <w:r>
        <w:t xml:space="preserve">reported that there </w:t>
      </w:r>
      <w:r w:rsidR="005D7997">
        <w:t xml:space="preserve">were </w:t>
      </w:r>
      <w:r>
        <w:t>no significant differences in the number of vomiting episodes, number of diarrhoeal episodes, severity of symptoms or the overall duration of illness between the groups (data not reported). The only significant differences were the number of individuals with headaches and the median duration of gastrointestinal symptoms, which were both lower in the BSS group (</w:t>
      </w:r>
      <w:r w:rsidRPr="00D85428">
        <w:t>1</w:t>
      </w:r>
      <w:r>
        <w:t>/7</w:t>
      </w:r>
      <w:r w:rsidRPr="00D85428">
        <w:t xml:space="preserve"> (6%)</w:t>
      </w:r>
      <w:r>
        <w:t xml:space="preserve"> vs </w:t>
      </w:r>
      <w:r w:rsidRPr="00D85428">
        <w:t>7</w:t>
      </w:r>
      <w:r>
        <w:t>/15</w:t>
      </w:r>
      <w:r w:rsidRPr="00D85428">
        <w:t xml:space="preserve"> (47%)</w:t>
      </w:r>
      <w:r>
        <w:t xml:space="preserve">, </w:t>
      </w:r>
      <w:r w:rsidRPr="00D85428">
        <w:t>p=0.014</w:t>
      </w:r>
      <w:r>
        <w:t xml:space="preserve"> for headaches; </w:t>
      </w:r>
      <w:r w:rsidRPr="00D85428">
        <w:t>14hrs</w:t>
      </w:r>
      <w:r>
        <w:t xml:space="preserve"> vs </w:t>
      </w:r>
      <w:r w:rsidRPr="00D85428">
        <w:t>20hrs</w:t>
      </w:r>
      <w:r>
        <w:t xml:space="preserve">, </w:t>
      </w:r>
      <w:r w:rsidRPr="00D85428">
        <w:t>p&lt;0.05</w:t>
      </w:r>
      <w:r>
        <w:t xml:space="preserve"> for duration of symptoms in BSS and placebo group respectively). The cross-sectional study</w:t>
      </w:r>
      <w:r w:rsidR="00DC1B36">
        <w:rPr>
          <w:vertAlign w:val="superscript"/>
        </w:rPr>
        <w:t>272</w:t>
      </w:r>
      <w:r>
        <w:t xml:space="preserve"> reported that the incidence of gastroenteritis symptoms was lower in the residents who have been receiving </w:t>
      </w:r>
      <w:proofErr w:type="spellStart"/>
      <w:r>
        <w:t>metamucil</w:t>
      </w:r>
      <w:proofErr w:type="spellEnd"/>
      <w:r>
        <w:t xml:space="preserve"> (</w:t>
      </w:r>
      <w:r w:rsidRPr="00D85428">
        <w:t xml:space="preserve">constipation relief agent </w:t>
      </w:r>
      <w:r w:rsidR="00DB6D05">
        <w:t xml:space="preserve">with </w:t>
      </w:r>
      <w:r w:rsidRPr="00D85428">
        <w:t>psyllium husks</w:t>
      </w:r>
      <w:r>
        <w:t xml:space="preserve"> containing soluble fibre with possible prebiotic effect) before and during the outbreak of norovirus in a nursing home vs the residents who did not (</w:t>
      </w:r>
      <w:r w:rsidRPr="00D85428">
        <w:t>3</w:t>
      </w:r>
      <w:r>
        <w:t>/11</w:t>
      </w:r>
      <w:r w:rsidRPr="00D85428">
        <w:t xml:space="preserve"> (27%)</w:t>
      </w:r>
      <w:r>
        <w:t xml:space="preserve"> vs </w:t>
      </w:r>
      <w:r w:rsidRPr="00D85428">
        <w:t>27</w:t>
      </w:r>
      <w:r>
        <w:t>/38</w:t>
      </w:r>
      <w:r w:rsidRPr="00D85428">
        <w:t xml:space="preserve"> (71%)</w:t>
      </w:r>
      <w:r>
        <w:t xml:space="preserve"> respectively, </w:t>
      </w:r>
      <w:r w:rsidRPr="00D85428">
        <w:t>p=0.012</w:t>
      </w:r>
      <w:r>
        <w:t xml:space="preserve">). The authors reported that the evidence of the infection was similar in both groups of residents thus the effect was not only seen in the incidence and severity of the symptoms. Neither of these two studies reported whether there were any adverse effects associated with the treatment. </w:t>
      </w:r>
    </w:p>
    <w:p w14:paraId="6D8CE09A" w14:textId="3EE20821" w:rsidR="00E87A11" w:rsidRDefault="00E87A11" w:rsidP="00CF7116">
      <w:pPr>
        <w:spacing w:before="240" w:line="276" w:lineRule="auto"/>
      </w:pPr>
      <w:r w:rsidRPr="0095272F">
        <w:t xml:space="preserve">There was </w:t>
      </w:r>
      <w:r w:rsidR="00DB6D05">
        <w:t>moderate</w:t>
      </w:r>
      <w:r w:rsidR="00DB6D05" w:rsidRPr="00B15BBD">
        <w:t xml:space="preserve"> evidence</w:t>
      </w:r>
      <w:r w:rsidR="00DB6D05">
        <w:t xml:space="preserve"> </w:t>
      </w:r>
      <w:r>
        <w:t>of no benefit from one RCT</w:t>
      </w:r>
      <w:r w:rsidR="00DC1B36">
        <w:rPr>
          <w:vertAlign w:val="superscript"/>
        </w:rPr>
        <w:t>273</w:t>
      </w:r>
      <w:r>
        <w:t xml:space="preserve"> and one non-RCT</w:t>
      </w:r>
      <w:r w:rsidR="00DC1B36">
        <w:rPr>
          <w:vertAlign w:val="superscript"/>
        </w:rPr>
        <w:t>274</w:t>
      </w:r>
      <w:r>
        <w:t xml:space="preserve"> which assessed the effectiveness of probiotics to reduce the symptom duration in norovirus infected patients. One study </w:t>
      </w:r>
      <w:r>
        <w:lastRenderedPageBreak/>
        <w:t xml:space="preserve">used </w:t>
      </w:r>
      <w:r w:rsidRPr="00D85428">
        <w:rPr>
          <w:i/>
          <w:iCs/>
        </w:rPr>
        <w:t>Lactobacillus acidophilus</w:t>
      </w:r>
      <w:r>
        <w:t xml:space="preserve"> tablets</w:t>
      </w:r>
      <w:r w:rsidR="00DC1B36">
        <w:rPr>
          <w:vertAlign w:val="superscript"/>
        </w:rPr>
        <w:t>273</w:t>
      </w:r>
      <w:r>
        <w:t xml:space="preserve"> </w:t>
      </w:r>
      <w:r w:rsidR="00DB6D05">
        <w:t xml:space="preserve">(n= 28 in intervention and 35 in placebo group) </w:t>
      </w:r>
      <w:r>
        <w:t xml:space="preserve">and another used </w:t>
      </w:r>
      <w:r w:rsidRPr="00D85428">
        <w:rPr>
          <w:i/>
          <w:iCs/>
        </w:rPr>
        <w:t xml:space="preserve">Lactobacillus </w:t>
      </w:r>
      <w:proofErr w:type="spellStart"/>
      <w:r w:rsidRPr="00D85428">
        <w:rPr>
          <w:i/>
          <w:iCs/>
        </w:rPr>
        <w:t>casei</w:t>
      </w:r>
      <w:proofErr w:type="spellEnd"/>
      <w:r>
        <w:t xml:space="preserve"> (strain Shirota)-fermented milk product</w:t>
      </w:r>
      <w:r w:rsidR="00DC1B36">
        <w:rPr>
          <w:vertAlign w:val="superscript"/>
        </w:rPr>
        <w:t>274</w:t>
      </w:r>
      <w:r>
        <w:t xml:space="preserve"> </w:t>
      </w:r>
      <w:r w:rsidR="00DB6D05" w:rsidRPr="00DB6D05">
        <w:t xml:space="preserve">(n= </w:t>
      </w:r>
      <w:r w:rsidR="00DB6D05">
        <w:t>37</w:t>
      </w:r>
      <w:r w:rsidR="00DB6D05" w:rsidRPr="00DB6D05">
        <w:t xml:space="preserve"> in intervention and </w:t>
      </w:r>
      <w:r w:rsidR="00DB6D05">
        <w:t>21</w:t>
      </w:r>
      <w:r w:rsidR="00DB6D05" w:rsidRPr="00DB6D05">
        <w:t xml:space="preserve"> in placebo group) </w:t>
      </w:r>
      <w:r>
        <w:t>and both studies reported that there was no difference in symptom duration between the treatment and placebo groups. The only benefit was a shorter duration of fever over 37</w:t>
      </w:r>
      <w:r>
        <w:rPr>
          <w:rFonts w:cstheme="minorHAnsi"/>
        </w:rPr>
        <w:t>°</w:t>
      </w:r>
      <w:r>
        <w:t>C observed in one study</w:t>
      </w:r>
      <w:r w:rsidR="00DC1B36">
        <w:rPr>
          <w:vertAlign w:val="superscript"/>
        </w:rPr>
        <w:t>274</w:t>
      </w:r>
      <w:r>
        <w:t xml:space="preserve"> although this was not significant for fever over 38</w:t>
      </w:r>
      <w:r>
        <w:rPr>
          <w:rFonts w:cstheme="minorHAnsi"/>
        </w:rPr>
        <w:t>°</w:t>
      </w:r>
      <w:r>
        <w:t xml:space="preserve">C. The severity of the symptoms and the adverse events were not assessed in either of these two studies. </w:t>
      </w:r>
    </w:p>
    <w:p w14:paraId="50916F0D" w14:textId="504D3EC5" w:rsidR="00E87A11" w:rsidRDefault="00E87A11" w:rsidP="00CF7116">
      <w:pPr>
        <w:spacing w:before="240" w:line="276" w:lineRule="auto"/>
      </w:pPr>
      <w:r w:rsidRPr="0095272F">
        <w:t xml:space="preserve">There was </w:t>
      </w:r>
      <w:r w:rsidR="00DB6D05">
        <w:t>moderate</w:t>
      </w:r>
      <w:r w:rsidR="00DB6D05" w:rsidRPr="00B15BBD">
        <w:t xml:space="preserve"> evidence</w:t>
      </w:r>
      <w:r w:rsidR="00DB6D05">
        <w:t xml:space="preserve"> </w:t>
      </w:r>
      <w:r>
        <w:t>of benefit from one RCT,</w:t>
      </w:r>
      <w:r w:rsidR="00DC1B36">
        <w:rPr>
          <w:vertAlign w:val="superscript"/>
        </w:rPr>
        <w:t>275</w:t>
      </w:r>
      <w:r>
        <w:t xml:space="preserve"> which assessed the effectiveness of </w:t>
      </w:r>
      <w:r w:rsidR="00DB6D05">
        <w:t xml:space="preserve">an </w:t>
      </w:r>
      <w:r>
        <w:t>immune-modulating (</w:t>
      </w:r>
      <w:proofErr w:type="spellStart"/>
      <w:r>
        <w:t>anaferon</w:t>
      </w:r>
      <w:proofErr w:type="spellEnd"/>
      <w:r w:rsidR="00DB6D05">
        <w:t>, n=30 in intervention and placebo group</w:t>
      </w:r>
      <w:r>
        <w:t xml:space="preserve">) medication on </w:t>
      </w:r>
      <w:r w:rsidR="00DB6D05">
        <w:t xml:space="preserve">the </w:t>
      </w:r>
      <w:r>
        <w:t xml:space="preserve">duration of norovirus symptoms. The authors reported that the duration of diarrhoea, vomiting and nausea were not significantly different (data and p-value not reported) between the groups but </w:t>
      </w:r>
      <w:r w:rsidR="005D7997">
        <w:t xml:space="preserve">that </w:t>
      </w:r>
      <w:r>
        <w:t xml:space="preserve">the overall duration of illness and fever were lower in the </w:t>
      </w:r>
      <w:proofErr w:type="spellStart"/>
      <w:r>
        <w:t>anaferon</w:t>
      </w:r>
      <w:proofErr w:type="spellEnd"/>
      <w:r>
        <w:t xml:space="preserve"> group (data not reported, p&lt;0.001). The authors also reported that the duration of virus shedding was shorter in the treatment group (mean </w:t>
      </w:r>
      <w:r w:rsidRPr="00D85428">
        <w:t>5.70 (</w:t>
      </w:r>
      <w:r w:rsidR="00C870B1">
        <w:rPr>
          <w:rFonts w:cstheme="minorHAnsi"/>
        </w:rPr>
        <w:t>±</w:t>
      </w:r>
      <w:r>
        <w:t xml:space="preserve"> </w:t>
      </w:r>
      <w:r w:rsidRPr="00D85428">
        <w:t>0.47) days</w:t>
      </w:r>
      <w:r>
        <w:t xml:space="preserve"> vs mean </w:t>
      </w:r>
      <w:r w:rsidRPr="00D85428">
        <w:t>9.80 (</w:t>
      </w:r>
      <w:r w:rsidR="00C870B1">
        <w:rPr>
          <w:rFonts w:cstheme="minorHAnsi"/>
        </w:rPr>
        <w:t>±</w:t>
      </w:r>
      <w:r>
        <w:t xml:space="preserve"> </w:t>
      </w:r>
      <w:r w:rsidRPr="00D85428">
        <w:t>0.58) days</w:t>
      </w:r>
      <w:r>
        <w:t xml:space="preserve"> in placebo group). The adverse events were not assessed in this study. </w:t>
      </w:r>
    </w:p>
    <w:p w14:paraId="765E3058" w14:textId="196C0BCB" w:rsidR="00E87A11" w:rsidRDefault="00E87A11" w:rsidP="00CF7116">
      <w:pPr>
        <w:spacing w:before="240" w:line="276" w:lineRule="auto"/>
      </w:pPr>
      <w:r w:rsidRPr="0095272F">
        <w:t xml:space="preserve">There was </w:t>
      </w:r>
      <w:r w:rsidR="00DB6D05">
        <w:t xml:space="preserve">very </w:t>
      </w:r>
      <w:r w:rsidR="00DB6D05" w:rsidRPr="00DB6D05">
        <w:t>weak</w:t>
      </w:r>
      <w:r w:rsidR="00DB6D05" w:rsidRPr="00B15BBD">
        <w:t xml:space="preserve"> evidence</w:t>
      </w:r>
      <w:r w:rsidR="00DB6D05">
        <w:t xml:space="preserve"> </w:t>
      </w:r>
      <w:r>
        <w:t>of benefit from one cross-sectional study</w:t>
      </w:r>
      <w:r w:rsidR="00DC1B36">
        <w:rPr>
          <w:vertAlign w:val="superscript"/>
        </w:rPr>
        <w:t>272</w:t>
      </w:r>
      <w:r>
        <w:t xml:space="preserve"> which assessed the effectiveness of other medications on the severity of norovirus symptoms. This study compared a group of residents who received different types of medication before and during a norovirus outbreak in nursing home. They reported that the residents who received antipsychotic medication (</w:t>
      </w:r>
      <w:r w:rsidRPr="00311249">
        <w:t xml:space="preserve">haloperidol, chlorpromazine, thioridazine </w:t>
      </w:r>
      <w:r>
        <w:t>or</w:t>
      </w:r>
      <w:r w:rsidRPr="00311249">
        <w:t xml:space="preserve"> trifluoperazine</w:t>
      </w:r>
      <w:r>
        <w:t>) together with anticholinergic medication (t</w:t>
      </w:r>
      <w:r w:rsidRPr="00311249">
        <w:t xml:space="preserve">rihexyphenidyl or </w:t>
      </w:r>
      <w:r>
        <w:t>b</w:t>
      </w:r>
      <w:r w:rsidRPr="00311249">
        <w:t>enztropine</w:t>
      </w:r>
      <w:r>
        <w:t>) had a lower incidence of gastroenteritis than the residents who did not (</w:t>
      </w:r>
      <w:r w:rsidRPr="00D85428">
        <w:t>1</w:t>
      </w:r>
      <w:r>
        <w:t>/7</w:t>
      </w:r>
      <w:r w:rsidRPr="00D85428">
        <w:t xml:space="preserve"> (14%)</w:t>
      </w:r>
      <w:r>
        <w:t xml:space="preserve"> vs </w:t>
      </w:r>
      <w:r w:rsidRPr="00D85428">
        <w:t>15</w:t>
      </w:r>
      <w:r>
        <w:t>/21</w:t>
      </w:r>
      <w:r w:rsidRPr="00D85428">
        <w:t xml:space="preserve"> (71%)</w:t>
      </w:r>
      <w:r>
        <w:t xml:space="preserve"> respectively, </w:t>
      </w:r>
      <w:r w:rsidRPr="00D85428">
        <w:t>p=0.013</w:t>
      </w:r>
      <w:r>
        <w:t xml:space="preserve">), despite the evidence that the incidence of infection was similar in both groups. </w:t>
      </w:r>
    </w:p>
    <w:p w14:paraId="16718C05" w14:textId="0BA37C24" w:rsidR="00E87A11" w:rsidRPr="00F31E76" w:rsidRDefault="00F31E76" w:rsidP="00CF7116">
      <w:pPr>
        <w:spacing w:before="240" w:line="276" w:lineRule="auto"/>
        <w:rPr>
          <w:i/>
          <w:iCs/>
        </w:rPr>
      </w:pPr>
      <w:r w:rsidRPr="00F31E76">
        <w:rPr>
          <w:i/>
          <w:iCs/>
        </w:rPr>
        <w:t xml:space="preserve">The Working Party reviewed the above evidence and concluded that </w:t>
      </w:r>
      <w:r>
        <w:rPr>
          <w:i/>
          <w:iCs/>
        </w:rPr>
        <w:t>no therapy can currently be recommended to alleviate the symptoms of norovirus. However, it is recognised that some patients may develop secondary conditions</w:t>
      </w:r>
      <w:r w:rsidR="005D7997">
        <w:rPr>
          <w:i/>
          <w:iCs/>
        </w:rPr>
        <w:t xml:space="preserve"> (e.g. dehydration)</w:t>
      </w:r>
      <w:r>
        <w:rPr>
          <w:i/>
          <w:iCs/>
        </w:rPr>
        <w:t xml:space="preserve"> due to an underlying norovirus infection. When this occurs, the Working Party highlights the need to treat these conditions early to avoid any complications. </w:t>
      </w:r>
    </w:p>
    <w:p w14:paraId="1D154C99" w14:textId="77777777" w:rsidR="00E87A11" w:rsidRPr="006245E4" w:rsidRDefault="00E87A11" w:rsidP="00CF7116">
      <w:pPr>
        <w:spacing w:line="276" w:lineRule="auto"/>
        <w:rPr>
          <w:b/>
          <w:bCs/>
        </w:rPr>
      </w:pPr>
      <w:r w:rsidRPr="006245E4">
        <w:rPr>
          <w:b/>
          <w:bCs/>
        </w:rPr>
        <w:t>Recommendations:</w:t>
      </w:r>
    </w:p>
    <w:p w14:paraId="55284693" w14:textId="74967DB1" w:rsidR="00E87A11" w:rsidRPr="006245E4" w:rsidRDefault="00F31E76" w:rsidP="00CF7116">
      <w:pPr>
        <w:spacing w:before="240" w:line="276" w:lineRule="auto"/>
      </w:pPr>
      <w:r w:rsidRPr="00F31E76">
        <w:rPr>
          <w:b/>
          <w:bCs/>
        </w:rPr>
        <w:t>27.1:</w:t>
      </w:r>
      <w:r>
        <w:t xml:space="preserve"> No recommendation</w:t>
      </w:r>
    </w:p>
    <w:p w14:paraId="052849B3" w14:textId="77777777" w:rsidR="00E87A11" w:rsidRPr="006245E4" w:rsidRDefault="00E87A11" w:rsidP="00CF7116">
      <w:pPr>
        <w:spacing w:line="276" w:lineRule="auto"/>
        <w:rPr>
          <w:b/>
          <w:bCs/>
        </w:rPr>
      </w:pPr>
      <w:r w:rsidRPr="006245E4">
        <w:rPr>
          <w:b/>
          <w:bCs/>
        </w:rPr>
        <w:t>Good practice points:</w:t>
      </w:r>
    </w:p>
    <w:p w14:paraId="75A018C3" w14:textId="563F291D" w:rsidR="00E87A11" w:rsidRDefault="00F31E76" w:rsidP="00CF7116">
      <w:pPr>
        <w:spacing w:before="240" w:line="276" w:lineRule="auto"/>
      </w:pPr>
      <w:r w:rsidRPr="00F31E76">
        <w:rPr>
          <w:b/>
          <w:bCs/>
        </w:rPr>
        <w:t>GPP 27.1:</w:t>
      </w:r>
      <w:r>
        <w:t xml:space="preserve"> </w:t>
      </w:r>
      <w:r w:rsidR="00DB6D05" w:rsidRPr="00DB6D05">
        <w:t xml:space="preserve">Consider appropriate treatment </w:t>
      </w:r>
      <w:r>
        <w:t xml:space="preserve">for secondary conditions </w:t>
      </w:r>
      <w:r w:rsidR="00DB6D05" w:rsidRPr="00DB6D05">
        <w:t>as appropriate</w:t>
      </w:r>
      <w:r>
        <w:t xml:space="preserve"> </w:t>
      </w:r>
      <w:r w:rsidRPr="00DB6D05">
        <w:t>(e.g. rehydration therapy</w:t>
      </w:r>
      <w:r>
        <w:t xml:space="preserve"> for </w:t>
      </w:r>
      <w:r w:rsidR="00364DC7">
        <w:t>individuals</w:t>
      </w:r>
      <w:r>
        <w:t xml:space="preserve"> at risk of dehydration). </w:t>
      </w:r>
    </w:p>
    <w:p w14:paraId="12A77750" w14:textId="77777777" w:rsidR="006245E4" w:rsidRDefault="006245E4" w:rsidP="00CF7116">
      <w:pPr>
        <w:spacing w:before="240" w:line="276" w:lineRule="auto"/>
      </w:pPr>
    </w:p>
    <w:p w14:paraId="38EEE7CD" w14:textId="544D3BFB" w:rsidR="00E758C0" w:rsidRDefault="00E758C0" w:rsidP="00CF7116">
      <w:pPr>
        <w:pStyle w:val="Heading2"/>
        <w:spacing w:before="240" w:after="160" w:line="276" w:lineRule="auto"/>
      </w:pPr>
      <w:r>
        <w:lastRenderedPageBreak/>
        <w:t>8.28</w:t>
      </w:r>
      <w:r>
        <w:tab/>
        <w:t>What are the best strategies for preventing and managing norovirus infection in immunocompromised patients? How should patients with chronic norovirus excretion be managed?</w:t>
      </w:r>
    </w:p>
    <w:p w14:paraId="674B13BC" w14:textId="5521E68C" w:rsidR="00656EFF" w:rsidRDefault="00656EFF" w:rsidP="00CF7116">
      <w:pPr>
        <w:spacing w:before="240" w:line="276" w:lineRule="auto"/>
      </w:pPr>
      <w:bookmarkStart w:id="34" w:name="_Hlk109735167"/>
      <w:r>
        <w:t xml:space="preserve">Immunocompromised individuals are at increased risk of more prolonged, severe, and even life-threatening gastroenteritis following norovirus infection. In some cases, chronic infection can develop with persistent diarrhoea and excretion of norovirus in </w:t>
      </w:r>
      <w:r w:rsidR="00364DC7">
        <w:t xml:space="preserve">the </w:t>
      </w:r>
      <w:r>
        <w:t>stool</w:t>
      </w:r>
      <w:r w:rsidR="00024BD8">
        <w:t>.</w:t>
      </w:r>
      <w:r w:rsidR="00024BD8" w:rsidRPr="00024BD8">
        <w:rPr>
          <w:vertAlign w:val="superscript"/>
        </w:rPr>
        <w:t>276</w:t>
      </w:r>
      <w:r>
        <w:t xml:space="preserve"> There are currently no effective licensed vaccines or drugs available to protect against norovirus infection. Good adherence to </w:t>
      </w:r>
      <w:r w:rsidR="00E2003E">
        <w:t>IPC</w:t>
      </w:r>
      <w:r>
        <w:t xml:space="preserve"> measures, especially hand hygiene and others described in these guidelines are vitally important in preventing transmission of norovirus to immunocompromised patients. No antiviral drugs or other therapeutic agents are presently available to treat norovirus infection. Supportive care with particular attention to preventing dehydration, electrolyte disturbance, and malnutrition is therefore the mainstay of management, especially in immunocompromised patients where prolonged and severe gastroenteritis is more likely. The prevention and management of norovirus infection in immunocompromised patients was not examined in the previous norovirus guidelines.</w:t>
      </w:r>
      <w:r w:rsidR="00AC0F9C" w:rsidRPr="00AC0F9C">
        <w:rPr>
          <w:vertAlign w:val="superscript"/>
        </w:rPr>
        <w:t>1</w:t>
      </w:r>
      <w:r w:rsidR="00024BD8">
        <w:t xml:space="preserve"> </w:t>
      </w:r>
      <w:r w:rsidRPr="00656EFF">
        <w:t>In immunocompetent individuals, symptoms of norovirus gastroenteritis typically resolve within 24 to 48 hours</w:t>
      </w:r>
      <w:r w:rsidR="00024BD8">
        <w:t>,</w:t>
      </w:r>
      <w:r w:rsidR="001D608F">
        <w:rPr>
          <w:vertAlign w:val="superscript"/>
        </w:rPr>
        <w:t>5</w:t>
      </w:r>
      <w:r w:rsidRPr="00656EFF">
        <w:t xml:space="preserve"> but in hospitalised patients and </w:t>
      </w:r>
      <w:r w:rsidR="00024BD8">
        <w:t xml:space="preserve">in </w:t>
      </w:r>
      <w:r w:rsidRPr="00656EFF">
        <w:t>young infants</w:t>
      </w:r>
      <w:r w:rsidR="00024BD8">
        <w:t>,</w:t>
      </w:r>
      <w:r w:rsidRPr="00656EFF">
        <w:t xml:space="preserve"> symptoms may be more prolonged e.g., 4-6 days.</w:t>
      </w:r>
      <w:r w:rsidR="00024BD8" w:rsidRPr="00024BD8">
        <w:rPr>
          <w:vertAlign w:val="superscript"/>
        </w:rPr>
        <w:t>6,27</w:t>
      </w:r>
      <w:r w:rsidR="001D608F">
        <w:rPr>
          <w:vertAlign w:val="superscript"/>
        </w:rPr>
        <w:t>7</w:t>
      </w:r>
      <w:r w:rsidRPr="00656EFF">
        <w:t xml:space="preserve"> More chronic illness may be observed in individuals with suppressed immune responses, where persistent diarrhoea alongside detection of norovirus RNA in stool is seen; in some cases, months, and even years after initial infection.</w:t>
      </w:r>
      <w:r w:rsidR="001D608F" w:rsidRPr="001D608F">
        <w:rPr>
          <w:vertAlign w:val="superscript"/>
        </w:rPr>
        <w:t>278,</w:t>
      </w:r>
      <w:r w:rsidR="00024BD8" w:rsidRPr="00024BD8">
        <w:rPr>
          <w:vertAlign w:val="superscript"/>
        </w:rPr>
        <w:t>279</w:t>
      </w:r>
      <w:r w:rsidRPr="00656EFF">
        <w:t xml:space="preserve"> These individuals present significant challenges in terms of clinical management of symptoms, as well as </w:t>
      </w:r>
      <w:r w:rsidR="00E2003E">
        <w:t>IPC</w:t>
      </w:r>
      <w:r w:rsidRPr="00656EFF">
        <w:t xml:space="preserve"> in health and social care settings, where there may be risk of onward transmission. There are no well-established treatments and often a multidisciplinary approach to management is required. The significance of persistent norovirus detection in stool to </w:t>
      </w:r>
      <w:r w:rsidR="00E2003E">
        <w:t>IPC</w:t>
      </w:r>
      <w:r w:rsidRPr="00656EFF">
        <w:t xml:space="preserve"> also presents a challenge, as inability to cultivate norovirus means the duration of shedding of infectious virus is unknown, and the risk of onward transmission unclear. The approach to patients with chronic norovirus infection was not examined in the previous norovirus guidelines.</w:t>
      </w:r>
      <w:r w:rsidR="00AC0F9C" w:rsidRPr="00AC0F9C">
        <w:rPr>
          <w:vertAlign w:val="superscript"/>
        </w:rPr>
        <w:t>1</w:t>
      </w:r>
    </w:p>
    <w:p w14:paraId="36285482" w14:textId="77777777" w:rsidR="00E87A11" w:rsidRDefault="00E87A11" w:rsidP="00CF7116">
      <w:pPr>
        <w:pStyle w:val="Heading3"/>
        <w:spacing w:line="276" w:lineRule="auto"/>
      </w:pPr>
      <w:r>
        <w:t>Preventative measures</w:t>
      </w:r>
    </w:p>
    <w:p w14:paraId="443EC7FB" w14:textId="77745ABE" w:rsidR="00E87A11" w:rsidRDefault="00E87A11" w:rsidP="00CF7116">
      <w:pPr>
        <w:spacing w:before="240" w:line="276" w:lineRule="auto"/>
      </w:pPr>
      <w:r w:rsidRPr="0095272F">
        <w:t xml:space="preserve">There was </w:t>
      </w:r>
      <w:r w:rsidRPr="005A7226">
        <w:t>moderate</w:t>
      </w:r>
      <w:r w:rsidRPr="00B15BBD">
        <w:t xml:space="preserve"> evidence</w:t>
      </w:r>
      <w:r>
        <w:t xml:space="preserve"> of no benefit from one RCT,</w:t>
      </w:r>
      <w:r w:rsidR="00024BD8">
        <w:rPr>
          <w:vertAlign w:val="superscript"/>
        </w:rPr>
        <w:t>28</w:t>
      </w:r>
      <w:r w:rsidR="001D608F">
        <w:rPr>
          <w:vertAlign w:val="superscript"/>
        </w:rPr>
        <w:t>0</w:t>
      </w:r>
      <w:r>
        <w:t xml:space="preserve"> which assessed the effectiveness of neutropenic diet vs food-safety based diet for preventing norovirus infection in immunocompromised patients. The study reported no significant difference in the incidence of norovirus in the group of children undergoing </w:t>
      </w:r>
      <w:bookmarkStart w:id="35" w:name="_Hlk115175563"/>
      <w:r w:rsidRPr="009B1780">
        <w:t>h</w:t>
      </w:r>
      <w:r w:rsidR="00E2003E">
        <w:t>a</w:t>
      </w:r>
      <w:r w:rsidRPr="009B1780">
        <w:t>ematopoietic stem cell transplant</w:t>
      </w:r>
      <w:r>
        <w:t xml:space="preserve"> </w:t>
      </w:r>
      <w:bookmarkEnd w:id="35"/>
      <w:r>
        <w:t xml:space="preserve">(HSCT) and given </w:t>
      </w:r>
      <w:r w:rsidR="005D7997">
        <w:t xml:space="preserve">a </w:t>
      </w:r>
      <w:r>
        <w:t>neutropenic diet (</w:t>
      </w:r>
      <w:r w:rsidRPr="009B1780">
        <w:t>2</w:t>
      </w:r>
      <w:r>
        <w:t xml:space="preserve">/102, </w:t>
      </w:r>
      <w:r w:rsidRPr="009B1780">
        <w:t>4%</w:t>
      </w:r>
      <w:r>
        <w:t xml:space="preserve">) when compared to the children given </w:t>
      </w:r>
      <w:r w:rsidR="005D7997">
        <w:t xml:space="preserve">a </w:t>
      </w:r>
      <w:r>
        <w:t>food-safety based diet (</w:t>
      </w:r>
      <w:r w:rsidRPr="009B1780">
        <w:t>3</w:t>
      </w:r>
      <w:r>
        <w:t>/53,</w:t>
      </w:r>
      <w:r w:rsidRPr="009B1780">
        <w:t xml:space="preserve"> 6%</w:t>
      </w:r>
      <w:r>
        <w:t xml:space="preserve">; </w:t>
      </w:r>
      <w:r w:rsidRPr="009B1780">
        <w:t>p = 1.00</w:t>
      </w:r>
      <w:r>
        <w:t xml:space="preserve">). </w:t>
      </w:r>
    </w:p>
    <w:p w14:paraId="378AD056" w14:textId="439A0C63" w:rsidR="00E87A11" w:rsidRDefault="00E87A11" w:rsidP="00CF7116">
      <w:pPr>
        <w:spacing w:before="240" w:line="276" w:lineRule="auto"/>
      </w:pPr>
      <w:r w:rsidRPr="009B1780">
        <w:t xml:space="preserve">There was </w:t>
      </w:r>
      <w:r w:rsidRPr="005A7226">
        <w:t>very weak</w:t>
      </w:r>
      <w:r w:rsidRPr="009B1780">
        <w:t xml:space="preserve"> evidence from </w:t>
      </w:r>
      <w:r>
        <w:t>two outbreak studies</w:t>
      </w:r>
      <w:r w:rsidR="00024BD8">
        <w:t>,</w:t>
      </w:r>
      <w:r w:rsidR="00024BD8">
        <w:rPr>
          <w:vertAlign w:val="superscript"/>
        </w:rPr>
        <w:t>62,128</w:t>
      </w:r>
      <w:r>
        <w:t xml:space="preserve"> </w:t>
      </w:r>
      <w:r w:rsidRPr="009B1780">
        <w:t>which assessed the effectiveness</w:t>
      </w:r>
      <w:r>
        <w:t xml:space="preserve"> of different control measures to prevent transmission of norovirus to immunocompromised patients. The first study</w:t>
      </w:r>
      <w:r w:rsidR="00024BD8">
        <w:rPr>
          <w:vertAlign w:val="superscript"/>
        </w:rPr>
        <w:t>62</w:t>
      </w:r>
      <w:r>
        <w:t xml:space="preserve"> described an outbreak which occurred in </w:t>
      </w:r>
      <w:r w:rsidR="005A7226">
        <w:t xml:space="preserve">a </w:t>
      </w:r>
      <w:r>
        <w:t>p</w:t>
      </w:r>
      <w:r w:rsidRPr="009B1780">
        <w:t xml:space="preserve">aediatric haematology </w:t>
      </w:r>
      <w:r>
        <w:t>and</w:t>
      </w:r>
      <w:r w:rsidRPr="009B1780">
        <w:t xml:space="preserve"> oncology</w:t>
      </w:r>
      <w:r>
        <w:t xml:space="preserve"> unit, affecting 13 cases and lasting 38 days. In addition to the standard control measures (disinfection, isolation and contact precautions), the authors reported that they tested all symptomatic patients and retested them weekly until a negative result was obtained. They found this approach beneficial because the majority of the patients on their unit experienced treatment-related diarrhoea and testing helped them to identify and isolate all norovirus cases. Additionally, </w:t>
      </w:r>
      <w:r>
        <w:lastRenderedPageBreak/>
        <w:t xml:space="preserve">the authors reported that they found it beneficial to closely monitor all affected cases which prevented deterioration. Following the introduction of control measures, the outbreak affected </w:t>
      </w:r>
      <w:r w:rsidR="005A7226">
        <w:t xml:space="preserve">a </w:t>
      </w:r>
      <w:r>
        <w:t>further two cases lasting</w:t>
      </w:r>
      <w:r w:rsidR="001128A6">
        <w:t xml:space="preserve"> eleven </w:t>
      </w:r>
      <w:r>
        <w:t xml:space="preserve">days. The authors reported that the control measures had a </w:t>
      </w:r>
      <w:r w:rsidRPr="009B1780">
        <w:t xml:space="preserve">negative impact on </w:t>
      </w:r>
      <w:r>
        <w:t xml:space="preserve">ward </w:t>
      </w:r>
      <w:r w:rsidRPr="009B1780">
        <w:t xml:space="preserve">resources as well as psychological well-being of </w:t>
      </w:r>
      <w:r>
        <w:t xml:space="preserve">the </w:t>
      </w:r>
      <w:r w:rsidRPr="009B1780">
        <w:t>patients</w:t>
      </w:r>
      <w:r>
        <w:t xml:space="preserve"> (details not reported)</w:t>
      </w:r>
      <w:r w:rsidRPr="009B1780">
        <w:t>.</w:t>
      </w:r>
      <w:r>
        <w:t xml:space="preserve"> The second study</w:t>
      </w:r>
      <w:r w:rsidR="00024BD8">
        <w:rPr>
          <w:vertAlign w:val="superscript"/>
        </w:rPr>
        <w:t>128</w:t>
      </w:r>
      <w:r>
        <w:t xml:space="preserve"> reported a p</w:t>
      </w:r>
      <w:r w:rsidRPr="009B1780">
        <w:t>rolonged outbreak</w:t>
      </w:r>
      <w:r>
        <w:t>, which affected 17 cases</w:t>
      </w:r>
      <w:r w:rsidRPr="009B1780">
        <w:t xml:space="preserve"> in</w:t>
      </w:r>
      <w:r w:rsidR="005D7997">
        <w:t xml:space="preserve"> a</w:t>
      </w:r>
      <w:r w:rsidRPr="009B1780">
        <w:t xml:space="preserve"> haematology unit </w:t>
      </w:r>
      <w:r>
        <w:t xml:space="preserve">and was initiated by </w:t>
      </w:r>
      <w:r w:rsidRPr="009B1780">
        <w:t xml:space="preserve">a chronic </w:t>
      </w:r>
      <w:r>
        <w:t xml:space="preserve">norovirus </w:t>
      </w:r>
      <w:r w:rsidRPr="009B1780">
        <w:t xml:space="preserve">carrier. </w:t>
      </w:r>
      <w:r>
        <w:t>The p</w:t>
      </w:r>
      <w:r w:rsidRPr="009B1780">
        <w:t xml:space="preserve">atient </w:t>
      </w:r>
      <w:r>
        <w:t xml:space="preserve">was reported to </w:t>
      </w:r>
      <w:r w:rsidRPr="009B1780">
        <w:t xml:space="preserve">acquire </w:t>
      </w:r>
      <w:r>
        <w:t>norovirus</w:t>
      </w:r>
      <w:r w:rsidRPr="009B1780">
        <w:t xml:space="preserve"> during a previous outbreak (not described)</w:t>
      </w:r>
      <w:r>
        <w:t xml:space="preserve"> on the same unit. This patient suffered from</w:t>
      </w:r>
      <w:r w:rsidRPr="009B1780">
        <w:t xml:space="preserve"> persistent diarrhoea</w:t>
      </w:r>
      <w:r>
        <w:t xml:space="preserve"> and repeatedly tested positive</w:t>
      </w:r>
      <w:r w:rsidRPr="009B1780">
        <w:t>. H</w:t>
      </w:r>
      <w:r>
        <w:t>e h</w:t>
      </w:r>
      <w:r w:rsidRPr="009B1780">
        <w:t>ad multiple stays on a ward over</w:t>
      </w:r>
      <w:r w:rsidR="001128A6">
        <w:t xml:space="preserve"> ten </w:t>
      </w:r>
      <w:r w:rsidRPr="009B1780">
        <w:t>months</w:t>
      </w:r>
      <w:r>
        <w:t>,</w:t>
      </w:r>
      <w:r w:rsidRPr="009B1780">
        <w:t xml:space="preserve"> </w:t>
      </w:r>
      <w:r>
        <w:t>d</w:t>
      </w:r>
      <w:r w:rsidRPr="009B1780">
        <w:t xml:space="preserve">uring </w:t>
      </w:r>
      <w:r>
        <w:t>which time the</w:t>
      </w:r>
      <w:r w:rsidRPr="009B1780">
        <w:t xml:space="preserve"> patient </w:t>
      </w:r>
      <w:r>
        <w:t xml:space="preserve">was </w:t>
      </w:r>
      <w:r w:rsidRPr="009B1780">
        <w:t xml:space="preserve">isolated in balanced or </w:t>
      </w:r>
      <w:r>
        <w:t>positive-</w:t>
      </w:r>
      <w:r w:rsidRPr="009B1780">
        <w:t xml:space="preserve">pressure rooms which were disinfected after </w:t>
      </w:r>
      <w:r>
        <w:t xml:space="preserve">his </w:t>
      </w:r>
      <w:r w:rsidRPr="009B1780">
        <w:t xml:space="preserve">discharge. Despite this, </w:t>
      </w:r>
      <w:r>
        <w:t xml:space="preserve">other </w:t>
      </w:r>
      <w:r w:rsidRPr="009B1780">
        <w:t xml:space="preserve">patients </w:t>
      </w:r>
      <w:r>
        <w:t>on the unit were infected with the same norovirus</w:t>
      </w:r>
      <w:r w:rsidRPr="009B1780">
        <w:t xml:space="preserve"> </w:t>
      </w:r>
      <w:r>
        <w:t xml:space="preserve">strain </w:t>
      </w:r>
      <w:r w:rsidRPr="009B1780">
        <w:t xml:space="preserve">when this patient </w:t>
      </w:r>
      <w:r>
        <w:t xml:space="preserve">was </w:t>
      </w:r>
      <w:r w:rsidRPr="009B1780">
        <w:t xml:space="preserve">present or when </w:t>
      </w:r>
      <w:r>
        <w:t xml:space="preserve">they </w:t>
      </w:r>
      <w:r w:rsidRPr="009B1780">
        <w:t>occu</w:t>
      </w:r>
      <w:r>
        <w:t>pied</w:t>
      </w:r>
      <w:r w:rsidRPr="009B1780">
        <w:t xml:space="preserve"> the room after him</w:t>
      </w:r>
      <w:r>
        <w:t xml:space="preserve">. The authors reported that the isolation of the patient and disinfection of the room </w:t>
      </w:r>
      <w:r w:rsidRPr="009B1780">
        <w:t>had no effect</w:t>
      </w:r>
      <w:r>
        <w:t xml:space="preserve"> on controlling </w:t>
      </w:r>
      <w:r w:rsidR="005A7226">
        <w:t>the</w:t>
      </w:r>
      <w:r>
        <w:t xml:space="preserve"> outbreak</w:t>
      </w:r>
      <w:r w:rsidRPr="009B1780">
        <w:t>.</w:t>
      </w:r>
      <w:r>
        <w:t xml:space="preserve"> </w:t>
      </w:r>
    </w:p>
    <w:p w14:paraId="63673926" w14:textId="5EF3C548" w:rsidR="00E87A11" w:rsidRDefault="00E87A11"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 xml:space="preserve">effectiveness of any management </w:t>
      </w:r>
      <w:r w:rsidR="00F31E76">
        <w:rPr>
          <w:rFonts w:cstheme="minorHAnsi"/>
        </w:rPr>
        <w:t>strategy of</w:t>
      </w:r>
      <w:r>
        <w:rPr>
          <w:rFonts w:cstheme="minorHAnsi"/>
        </w:rPr>
        <w:t xml:space="preserve"> chronic norovirus patients to prevent norovirus outbreaks in any setting. </w:t>
      </w:r>
    </w:p>
    <w:p w14:paraId="0A0852B4" w14:textId="70B5D167" w:rsidR="00E87A11" w:rsidRDefault="00E87A11" w:rsidP="00CF7116">
      <w:pPr>
        <w:pStyle w:val="Heading3"/>
        <w:spacing w:line="276" w:lineRule="auto"/>
      </w:pPr>
      <w:r>
        <w:t>Management of infected immunocompromised persons</w:t>
      </w:r>
    </w:p>
    <w:p w14:paraId="0A2F47F2" w14:textId="1D0BB409" w:rsidR="00EA5AEB" w:rsidRPr="00EA5AEB" w:rsidRDefault="00EA5AEB" w:rsidP="00EA5AEB">
      <w:pPr>
        <w:pStyle w:val="Heading4"/>
      </w:pPr>
      <w:r>
        <w:t>Supportive measures</w:t>
      </w:r>
    </w:p>
    <w:p w14:paraId="46A46B3C" w14:textId="3F0DDAC0" w:rsidR="00EA5AEB" w:rsidRDefault="00EA5AEB" w:rsidP="00EA5AEB">
      <w:pPr>
        <w:spacing w:before="240" w:line="276" w:lineRule="auto"/>
      </w:pPr>
      <w:r w:rsidRPr="0095272F">
        <w:t>There was</w:t>
      </w:r>
      <w:r w:rsidRPr="005A7226">
        <w:t xml:space="preserve"> weak</w:t>
      </w:r>
      <w:r w:rsidRPr="00B15BBD">
        <w:t xml:space="preserve"> evidence</w:t>
      </w:r>
      <w:r>
        <w:t xml:space="preserve"> of no benefit from eight case studies/series</w:t>
      </w:r>
      <w:r w:rsidR="00024BD8">
        <w:t>,</w:t>
      </w:r>
      <w:r w:rsidR="00024BD8" w:rsidRPr="00024BD8">
        <w:rPr>
          <w:vertAlign w:val="superscript"/>
        </w:rPr>
        <w:t>28</w:t>
      </w:r>
      <w:r w:rsidR="001D608F">
        <w:rPr>
          <w:vertAlign w:val="superscript"/>
        </w:rPr>
        <w:t>1</w:t>
      </w:r>
      <w:r w:rsidR="00024BD8" w:rsidRPr="00024BD8">
        <w:rPr>
          <w:vertAlign w:val="superscript"/>
        </w:rPr>
        <w:t>-28</w:t>
      </w:r>
      <w:r w:rsidR="001D608F">
        <w:rPr>
          <w:vertAlign w:val="superscript"/>
        </w:rPr>
        <w:t>8</w:t>
      </w:r>
      <w:r w:rsidRPr="008F3377">
        <w:t xml:space="preserve"> </w:t>
      </w:r>
      <w:r>
        <w:t xml:space="preserve">which investigated the effectiveness of nutritional interventions in immunocompromised patients, all with chronic norovirus infection. These studies included a total of nine patients who were prescribed a lactose-free diet, 14 patients with a gluten-free diet, 16 patients who were given total parenteral or enteral nutrition, one was given probiotics and one was prescribed an elemental diet. None of these interventions resulted in norovirus clearance. Symptom improvement was observed in three patients with lactose-free and two with gluten-free diet, but all five were reported to relapse later. No side effects were reported. </w:t>
      </w:r>
    </w:p>
    <w:p w14:paraId="4FF1AE83" w14:textId="4D1427CB" w:rsidR="00EA5AEB" w:rsidRDefault="00EA5AEB" w:rsidP="00EA5AEB">
      <w:pPr>
        <w:spacing w:before="240" w:line="276" w:lineRule="auto"/>
      </w:pPr>
      <w:r w:rsidRPr="0095272F">
        <w:t xml:space="preserve">There was </w:t>
      </w:r>
      <w:r w:rsidRPr="005A7226">
        <w:t>very weak evidence</w:t>
      </w:r>
      <w:r>
        <w:t xml:space="preserve"> of no benefit from four case studies/series</w:t>
      </w:r>
      <w:r w:rsidR="00024BD8" w:rsidRPr="00024BD8">
        <w:rPr>
          <w:vertAlign w:val="superscript"/>
        </w:rPr>
        <w:t>28</w:t>
      </w:r>
      <w:r w:rsidR="001D608F">
        <w:rPr>
          <w:vertAlign w:val="superscript"/>
        </w:rPr>
        <w:t>2</w:t>
      </w:r>
      <w:r w:rsidR="00024BD8" w:rsidRPr="00024BD8">
        <w:rPr>
          <w:vertAlign w:val="superscript"/>
        </w:rPr>
        <w:t>,2</w:t>
      </w:r>
      <w:r w:rsidR="001D608F">
        <w:rPr>
          <w:vertAlign w:val="superscript"/>
        </w:rPr>
        <w:t>89</w:t>
      </w:r>
      <w:r w:rsidR="00024BD8" w:rsidRPr="00024BD8">
        <w:rPr>
          <w:vertAlign w:val="superscript"/>
        </w:rPr>
        <w:t>-29</w:t>
      </w:r>
      <w:r w:rsidR="001D608F">
        <w:rPr>
          <w:vertAlign w:val="superscript"/>
        </w:rPr>
        <w:t>1</w:t>
      </w:r>
      <w:r w:rsidRPr="008F3377">
        <w:t xml:space="preserve"> </w:t>
      </w:r>
      <w:r>
        <w:t xml:space="preserve">which investigated the effectiveness of different anti-motility medications administered to immunocompromised patients with chronic norovirus infection. These studies included a total of five patients, three of whom received loperamide (one in combination with Lomotil, one with opium and one alone) and in two patients the medication was not specified. Symptom improvement only occurred in one patient who was given loperamide with opium. It was reported that </w:t>
      </w:r>
      <w:r w:rsidRPr="00BD400C">
        <w:t xml:space="preserve">any attempts to taper this </w:t>
      </w:r>
      <w:r>
        <w:t xml:space="preserve">regime </w:t>
      </w:r>
      <w:r w:rsidRPr="00BD400C">
        <w:t>resulted in recurrence of symptoms</w:t>
      </w:r>
      <w:r>
        <w:t xml:space="preserve"> in this patient</w:t>
      </w:r>
      <w:r w:rsidRPr="00BD400C">
        <w:t xml:space="preserve">. </w:t>
      </w:r>
      <w:r>
        <w:t>The authors also reported that symptoms r</w:t>
      </w:r>
      <w:r w:rsidRPr="00BD400C">
        <w:t xml:space="preserve">esolved only when </w:t>
      </w:r>
      <w:r>
        <w:t xml:space="preserve">the </w:t>
      </w:r>
      <w:r w:rsidRPr="00BD400C">
        <w:t xml:space="preserve">patient recovered </w:t>
      </w:r>
      <w:r>
        <w:t xml:space="preserve">their </w:t>
      </w:r>
      <w:r w:rsidRPr="00BD400C">
        <w:t xml:space="preserve">antibody production </w:t>
      </w:r>
      <w:r>
        <w:t>eight</w:t>
      </w:r>
      <w:r w:rsidRPr="00BD400C">
        <w:t xml:space="preserve"> months after </w:t>
      </w:r>
      <w:r>
        <w:t xml:space="preserve">last </w:t>
      </w:r>
      <w:r w:rsidRPr="00BD400C">
        <w:t>chemo</w:t>
      </w:r>
      <w:r>
        <w:t>therapy treatment</w:t>
      </w:r>
      <w:r w:rsidRPr="00BD400C">
        <w:t xml:space="preserve">. Side effects </w:t>
      </w:r>
      <w:r>
        <w:t xml:space="preserve">were </w:t>
      </w:r>
      <w:r w:rsidRPr="00BD400C">
        <w:t>not observed</w:t>
      </w:r>
      <w:r>
        <w:t>.</w:t>
      </w:r>
    </w:p>
    <w:p w14:paraId="4FB6745A" w14:textId="05CBA55D" w:rsidR="00EA5AEB" w:rsidRDefault="00EA5AEB" w:rsidP="00EA5AEB">
      <w:pPr>
        <w:pStyle w:val="Heading4"/>
      </w:pPr>
      <w:r>
        <w:t>Direct antiviral therapy</w:t>
      </w:r>
    </w:p>
    <w:p w14:paraId="0DF6745A" w14:textId="0E65DC9C" w:rsidR="00EA5AEB" w:rsidRDefault="00EA5AEB" w:rsidP="00EA5AEB">
      <w:pPr>
        <w:spacing w:before="240" w:line="276" w:lineRule="auto"/>
      </w:pPr>
      <w:r w:rsidRPr="0095272F">
        <w:t xml:space="preserve">There was </w:t>
      </w:r>
      <w:r w:rsidRPr="005A7226">
        <w:t>very weak evidence</w:t>
      </w:r>
      <w:r>
        <w:t xml:space="preserve"> of benefit from three case studies/series reported in four articles</w:t>
      </w:r>
      <w:r w:rsidR="00792887">
        <w:t>,</w:t>
      </w:r>
      <w:r w:rsidR="00792887" w:rsidRPr="00792887">
        <w:rPr>
          <w:vertAlign w:val="superscript"/>
        </w:rPr>
        <w:t>28</w:t>
      </w:r>
      <w:r w:rsidR="001D608F">
        <w:rPr>
          <w:vertAlign w:val="superscript"/>
        </w:rPr>
        <w:t>1</w:t>
      </w:r>
      <w:r w:rsidR="00792887" w:rsidRPr="00792887">
        <w:rPr>
          <w:vertAlign w:val="superscript"/>
        </w:rPr>
        <w:t>/29</w:t>
      </w:r>
      <w:r w:rsidR="001D608F">
        <w:rPr>
          <w:vertAlign w:val="superscript"/>
        </w:rPr>
        <w:t>2</w:t>
      </w:r>
      <w:r w:rsidR="00792887" w:rsidRPr="00792887">
        <w:rPr>
          <w:vertAlign w:val="superscript"/>
        </w:rPr>
        <w:t>,28</w:t>
      </w:r>
      <w:r w:rsidR="001D608F">
        <w:rPr>
          <w:vertAlign w:val="superscript"/>
        </w:rPr>
        <w:t>4</w:t>
      </w:r>
      <w:r w:rsidR="00792887" w:rsidRPr="00792887">
        <w:rPr>
          <w:vertAlign w:val="superscript"/>
        </w:rPr>
        <w:t>,28</w:t>
      </w:r>
      <w:r w:rsidR="001D608F">
        <w:rPr>
          <w:vertAlign w:val="superscript"/>
        </w:rPr>
        <w:t>8</w:t>
      </w:r>
      <w:r w:rsidRPr="008F3377">
        <w:t xml:space="preserve"> </w:t>
      </w:r>
      <w:r>
        <w:t xml:space="preserve">which investigated the effectiveness of antiviral medications administered to immunocompromised patients with chronic norovirus infection. These studies included a total of 14 patients, 13 of whom received </w:t>
      </w:r>
      <w:r w:rsidRPr="00BD400C">
        <w:t>ribavirin</w:t>
      </w:r>
      <w:r>
        <w:t xml:space="preserve"> (one with interferon) and one received f</w:t>
      </w:r>
      <w:r w:rsidRPr="00BD400C">
        <w:t xml:space="preserve">avipiravir </w:t>
      </w:r>
      <w:r>
        <w:t>in combination with</w:t>
      </w:r>
      <w:r w:rsidRPr="00BD400C">
        <w:t xml:space="preserve"> loperamide</w:t>
      </w:r>
      <w:r>
        <w:t xml:space="preserve">. Three of 13 patients who received ribavirin had evidence of virus clearance and one further patient experienced symptom improvement but later relapsed. The three </w:t>
      </w:r>
      <w:r>
        <w:lastRenderedPageBreak/>
        <w:t>patients whose norovirus infection cleared experienced treatment-related anaemia. The patient who received favipiravir also initially experienced norovirus clearance but relapsed when treatment was withdrawn. The authors reported that the</w:t>
      </w:r>
      <w:r w:rsidRPr="00BD400C">
        <w:t xml:space="preserve"> episodes of clearance and relapses </w:t>
      </w:r>
      <w:r>
        <w:t xml:space="preserve">occurred </w:t>
      </w:r>
      <w:r w:rsidRPr="00BD400C">
        <w:t xml:space="preserve">when </w:t>
      </w:r>
      <w:r>
        <w:t xml:space="preserve">the patient was </w:t>
      </w:r>
      <w:r w:rsidRPr="00BD400C">
        <w:t>on and off</w:t>
      </w:r>
      <w:r>
        <w:t xml:space="preserve"> the </w:t>
      </w:r>
      <w:r w:rsidRPr="00BD400C">
        <w:t xml:space="preserve">treatment. </w:t>
      </w:r>
      <w:r>
        <w:t>It was also reported that the patient’s l</w:t>
      </w:r>
      <w:r w:rsidRPr="00BD400C">
        <w:t>iver profile deteriorated</w:t>
      </w:r>
      <w:r>
        <w:t xml:space="preserve"> whilst the patient was given favipiravir. </w:t>
      </w:r>
    </w:p>
    <w:p w14:paraId="4AD3A510" w14:textId="018F2A70" w:rsidR="00EA5AEB" w:rsidRDefault="00EA5AEB" w:rsidP="00EA5AEB">
      <w:pPr>
        <w:pStyle w:val="Heading4"/>
      </w:pPr>
      <w:r>
        <w:t>Indirect antiviral therapy</w:t>
      </w:r>
    </w:p>
    <w:p w14:paraId="7C598C71" w14:textId="56DF1346" w:rsidR="00E87A11" w:rsidRDefault="00E87A11" w:rsidP="00CF7116">
      <w:pPr>
        <w:spacing w:before="240" w:line="276" w:lineRule="auto"/>
      </w:pPr>
      <w:r w:rsidRPr="0095272F">
        <w:t>There was</w:t>
      </w:r>
      <w:r w:rsidRPr="005A7226">
        <w:t xml:space="preserve"> weak</w:t>
      </w:r>
      <w:r w:rsidRPr="00B15BBD">
        <w:t xml:space="preserve"> evidence</w:t>
      </w:r>
      <w:r>
        <w:t xml:space="preserve"> </w:t>
      </w:r>
      <w:r w:rsidR="005A7226">
        <w:t xml:space="preserve">of benefit </w:t>
      </w:r>
      <w:r>
        <w:t>from one cross-sectional study</w:t>
      </w:r>
      <w:r w:rsidR="00792887">
        <w:rPr>
          <w:vertAlign w:val="superscript"/>
        </w:rPr>
        <w:t>29</w:t>
      </w:r>
      <w:r w:rsidR="001D608F">
        <w:rPr>
          <w:vertAlign w:val="superscript"/>
        </w:rPr>
        <w:t>3</w:t>
      </w:r>
      <w:r>
        <w:t xml:space="preserve"> and sixteen case studies/series</w:t>
      </w:r>
      <w:r w:rsidR="00792887" w:rsidRPr="00792887">
        <w:rPr>
          <w:vertAlign w:val="superscript"/>
        </w:rPr>
        <w:t>28</w:t>
      </w:r>
      <w:r w:rsidR="001D608F">
        <w:rPr>
          <w:vertAlign w:val="superscript"/>
        </w:rPr>
        <w:t>1</w:t>
      </w:r>
      <w:r w:rsidR="00792887" w:rsidRPr="00792887">
        <w:rPr>
          <w:vertAlign w:val="superscript"/>
        </w:rPr>
        <w:t>-28</w:t>
      </w:r>
      <w:r w:rsidR="001D608F">
        <w:rPr>
          <w:vertAlign w:val="superscript"/>
        </w:rPr>
        <w:t>5</w:t>
      </w:r>
      <w:r w:rsidR="00792887" w:rsidRPr="00792887">
        <w:rPr>
          <w:vertAlign w:val="superscript"/>
        </w:rPr>
        <w:t>,2</w:t>
      </w:r>
      <w:r w:rsidR="001D608F">
        <w:rPr>
          <w:vertAlign w:val="superscript"/>
        </w:rPr>
        <w:t>89</w:t>
      </w:r>
      <w:r w:rsidR="00792887" w:rsidRPr="00792887">
        <w:rPr>
          <w:vertAlign w:val="superscript"/>
        </w:rPr>
        <w:t>,29</w:t>
      </w:r>
      <w:r w:rsidR="001D608F">
        <w:rPr>
          <w:vertAlign w:val="superscript"/>
        </w:rPr>
        <w:t>0</w:t>
      </w:r>
      <w:r w:rsidR="00792887" w:rsidRPr="00792887">
        <w:rPr>
          <w:vertAlign w:val="superscript"/>
        </w:rPr>
        <w:t>,29</w:t>
      </w:r>
      <w:r w:rsidR="001D608F">
        <w:rPr>
          <w:vertAlign w:val="superscript"/>
        </w:rPr>
        <w:t>4</w:t>
      </w:r>
      <w:r w:rsidR="00792887" w:rsidRPr="00792887">
        <w:rPr>
          <w:vertAlign w:val="superscript"/>
        </w:rPr>
        <w:t>-30</w:t>
      </w:r>
      <w:r w:rsidR="001D608F">
        <w:rPr>
          <w:vertAlign w:val="superscript"/>
        </w:rPr>
        <w:t>2</w:t>
      </w:r>
      <w:r>
        <w:t xml:space="preserve"> which investigated the effectiveness of immunoglobulin administration in immunocompromised patients with norovirus infection. The cross-sectional study,</w:t>
      </w:r>
      <w:r w:rsidR="00792887" w:rsidRPr="00792887">
        <w:rPr>
          <w:vertAlign w:val="superscript"/>
        </w:rPr>
        <w:t>29</w:t>
      </w:r>
      <w:r w:rsidR="001D608F">
        <w:rPr>
          <w:vertAlign w:val="superscript"/>
        </w:rPr>
        <w:t>3</w:t>
      </w:r>
      <w:r>
        <w:t xml:space="preserve"> which was conducted in patients with acute norovirus infection </w:t>
      </w:r>
      <w:r w:rsidR="005A7226">
        <w:t xml:space="preserve">reported a </w:t>
      </w:r>
      <w:r>
        <w:t xml:space="preserve">significant difference in the volume of the stool output seven days after the start of the immunoglobulin administration (data not provided) but did not report a significant difference in diarrhoea resolution (OR 65.3 [CI </w:t>
      </w:r>
      <w:r w:rsidR="00C870B1">
        <w:t>not reported</w:t>
      </w:r>
      <w:r>
        <w:t>], p=0.078) or the duration of diarrhoea (12.8 days vs 11.91 days in intervention and control groups respectively, p=0.63). The case studies/series</w:t>
      </w:r>
      <w:r w:rsidR="00792887" w:rsidRPr="00792887">
        <w:rPr>
          <w:vertAlign w:val="superscript"/>
        </w:rPr>
        <w:t>28</w:t>
      </w:r>
      <w:r w:rsidR="001D608F">
        <w:rPr>
          <w:vertAlign w:val="superscript"/>
        </w:rPr>
        <w:t>1</w:t>
      </w:r>
      <w:r w:rsidR="00792887" w:rsidRPr="00792887">
        <w:rPr>
          <w:vertAlign w:val="superscript"/>
        </w:rPr>
        <w:t>-28</w:t>
      </w:r>
      <w:r w:rsidR="001D608F">
        <w:rPr>
          <w:vertAlign w:val="superscript"/>
        </w:rPr>
        <w:t>5</w:t>
      </w:r>
      <w:r w:rsidR="00792887" w:rsidRPr="00792887">
        <w:rPr>
          <w:vertAlign w:val="superscript"/>
        </w:rPr>
        <w:t>,2</w:t>
      </w:r>
      <w:r w:rsidR="001D608F">
        <w:rPr>
          <w:vertAlign w:val="superscript"/>
        </w:rPr>
        <w:t>89</w:t>
      </w:r>
      <w:r w:rsidR="00792887" w:rsidRPr="00792887">
        <w:rPr>
          <w:vertAlign w:val="superscript"/>
        </w:rPr>
        <w:t>,29</w:t>
      </w:r>
      <w:r w:rsidR="001D608F">
        <w:rPr>
          <w:vertAlign w:val="superscript"/>
        </w:rPr>
        <w:t>0</w:t>
      </w:r>
      <w:r w:rsidR="00792887" w:rsidRPr="00792887">
        <w:rPr>
          <w:vertAlign w:val="superscript"/>
        </w:rPr>
        <w:t>,29</w:t>
      </w:r>
      <w:r w:rsidR="001D608F">
        <w:rPr>
          <w:vertAlign w:val="superscript"/>
        </w:rPr>
        <w:t>4</w:t>
      </w:r>
      <w:r w:rsidR="00792887" w:rsidRPr="00792887">
        <w:rPr>
          <w:vertAlign w:val="superscript"/>
        </w:rPr>
        <w:t>-30</w:t>
      </w:r>
      <w:r w:rsidR="001D608F">
        <w:rPr>
          <w:vertAlign w:val="superscript"/>
        </w:rPr>
        <w:t>2</w:t>
      </w:r>
      <w:r>
        <w:t xml:space="preserve"> included a total of 53 patients of whom 18 were chronically infected, 14 were acutely infected and in 21 it was not possible to determine how long the infection lasted. Of 18 chronic patients who were administered immunoglobulin, three (17%) had evidence of norovirus clearance from the stools (defined as negative PCR test) and </w:t>
      </w:r>
      <w:r w:rsidR="005A7226">
        <w:t xml:space="preserve">a </w:t>
      </w:r>
      <w:r>
        <w:t>further two (11%) experienced improvement in symptoms without evidence of norovirus clearance. It was also reported that there was one patient who developed graft rejection following immunoglobulin therapy. Of 14 acute patients, all but one (93%) had evidence of norovirus clearance, although it was also reported that four of these patients experience</w:t>
      </w:r>
      <w:r w:rsidR="005D7997">
        <w:t>d</w:t>
      </w:r>
      <w:r>
        <w:t xml:space="preserve"> a relapse. One patient</w:t>
      </w:r>
      <w:r w:rsidR="005A7226">
        <w:t>,</w:t>
      </w:r>
      <w:r>
        <w:t xml:space="preserve"> wh</w:t>
      </w:r>
      <w:r w:rsidR="005A7226">
        <w:t>o</w:t>
      </w:r>
      <w:r>
        <w:t xml:space="preserve"> did not have norovirus clearance</w:t>
      </w:r>
      <w:r w:rsidR="005A7226">
        <w:t>,</w:t>
      </w:r>
      <w:r>
        <w:t xml:space="preserve"> was reported to experience less symptoms following the immunoglobulin therapy. From the group of patients in whom it was not possible to determine the duration of infection, improvement was noted in 18 (86%) of patients and three (14%) did not respond to the therapy. </w:t>
      </w:r>
    </w:p>
    <w:p w14:paraId="371A468E" w14:textId="27FC4FA9" w:rsidR="00EA5AEB" w:rsidRDefault="00EA5AEB" w:rsidP="00EA5AEB">
      <w:pPr>
        <w:spacing w:before="240" w:line="276" w:lineRule="auto"/>
      </w:pPr>
      <w:r w:rsidRPr="0095272F">
        <w:t xml:space="preserve">There was </w:t>
      </w:r>
      <w:r w:rsidRPr="005A7226">
        <w:t xml:space="preserve">weak </w:t>
      </w:r>
      <w:r w:rsidRPr="00B15BBD">
        <w:t>evidence</w:t>
      </w:r>
      <w:r>
        <w:t xml:space="preserve"> from nine case studies/series</w:t>
      </w:r>
      <w:r w:rsidR="00D959E9" w:rsidRPr="00D959E9">
        <w:rPr>
          <w:vertAlign w:val="superscript"/>
        </w:rPr>
        <w:t>28</w:t>
      </w:r>
      <w:r w:rsidR="001D608F">
        <w:rPr>
          <w:vertAlign w:val="superscript"/>
        </w:rPr>
        <w:t>1</w:t>
      </w:r>
      <w:r w:rsidR="00D959E9" w:rsidRPr="00D959E9">
        <w:rPr>
          <w:vertAlign w:val="superscript"/>
        </w:rPr>
        <w:t>,28</w:t>
      </w:r>
      <w:r w:rsidR="001D608F">
        <w:rPr>
          <w:vertAlign w:val="superscript"/>
        </w:rPr>
        <w:t>2</w:t>
      </w:r>
      <w:r w:rsidR="00D959E9" w:rsidRPr="00D959E9">
        <w:rPr>
          <w:vertAlign w:val="superscript"/>
        </w:rPr>
        <w:t>,28</w:t>
      </w:r>
      <w:r w:rsidR="001D608F">
        <w:rPr>
          <w:vertAlign w:val="superscript"/>
        </w:rPr>
        <w:t>4</w:t>
      </w:r>
      <w:r w:rsidR="00D959E9" w:rsidRPr="00D959E9">
        <w:rPr>
          <w:vertAlign w:val="superscript"/>
        </w:rPr>
        <w:t>,29</w:t>
      </w:r>
      <w:r w:rsidR="001D608F">
        <w:rPr>
          <w:vertAlign w:val="superscript"/>
        </w:rPr>
        <w:t>0</w:t>
      </w:r>
      <w:r w:rsidR="00D959E9" w:rsidRPr="00D959E9">
        <w:rPr>
          <w:vertAlign w:val="superscript"/>
        </w:rPr>
        <w:t>,</w:t>
      </w:r>
      <w:r w:rsidR="001F3652">
        <w:rPr>
          <w:vertAlign w:val="superscript"/>
        </w:rPr>
        <w:t>29</w:t>
      </w:r>
      <w:r w:rsidR="001D608F">
        <w:rPr>
          <w:vertAlign w:val="superscript"/>
        </w:rPr>
        <w:t>4</w:t>
      </w:r>
      <w:r w:rsidR="001F3652">
        <w:rPr>
          <w:vertAlign w:val="superscript"/>
        </w:rPr>
        <w:t>,</w:t>
      </w:r>
      <w:r w:rsidR="00D959E9" w:rsidRPr="00D959E9">
        <w:rPr>
          <w:vertAlign w:val="superscript"/>
        </w:rPr>
        <w:t>30</w:t>
      </w:r>
      <w:r w:rsidR="001D608F">
        <w:rPr>
          <w:vertAlign w:val="superscript"/>
        </w:rPr>
        <w:t>3</w:t>
      </w:r>
      <w:r w:rsidR="00D959E9" w:rsidRPr="00D959E9">
        <w:rPr>
          <w:vertAlign w:val="superscript"/>
        </w:rPr>
        <w:t>-30</w:t>
      </w:r>
      <w:r w:rsidR="001D608F">
        <w:rPr>
          <w:vertAlign w:val="superscript"/>
        </w:rPr>
        <w:t>6</w:t>
      </w:r>
      <w:r w:rsidRPr="008F3377">
        <w:t xml:space="preserve"> </w:t>
      </w:r>
      <w:r>
        <w:t>which investigated the effectiveness of nitazoxanide administration in immunocompromised patients with norovirus infection. These studies included a total of 20 patients, all of whom were chronically infected. It was reported that three (15%) had evidence of norovirus clearance and in a further five (25%) symptoms improved. Four patients who experienced symptom improvement relapsed after nitazoxanide was withdrawn. Of three patients who had evidence of norovirus clearance, two still deteriorated and one experienced gastrointestinal distress.</w:t>
      </w:r>
      <w:r w:rsidR="000E41A6">
        <w:t xml:space="preserve"> </w:t>
      </w:r>
    </w:p>
    <w:p w14:paraId="06117BB9" w14:textId="452256CB" w:rsidR="00EA5AEB" w:rsidRDefault="00EA5AEB" w:rsidP="00EA5AEB">
      <w:pPr>
        <w:spacing w:before="240" w:line="276" w:lineRule="auto"/>
      </w:pPr>
      <w:r w:rsidRPr="0095272F">
        <w:t xml:space="preserve">There was </w:t>
      </w:r>
      <w:r w:rsidRPr="005A7226">
        <w:t>very weak evidence</w:t>
      </w:r>
      <w:r>
        <w:t xml:space="preserve"> of no benefit from five case studies/series</w:t>
      </w:r>
      <w:r w:rsidR="001F3652" w:rsidRPr="001F3652">
        <w:rPr>
          <w:vertAlign w:val="superscript"/>
        </w:rPr>
        <w:t>28</w:t>
      </w:r>
      <w:r w:rsidR="001D608F">
        <w:rPr>
          <w:vertAlign w:val="superscript"/>
        </w:rPr>
        <w:t>1</w:t>
      </w:r>
      <w:r w:rsidR="001F3652" w:rsidRPr="001F3652">
        <w:rPr>
          <w:vertAlign w:val="superscript"/>
        </w:rPr>
        <w:t>,28</w:t>
      </w:r>
      <w:r w:rsidR="001D608F">
        <w:rPr>
          <w:vertAlign w:val="superscript"/>
        </w:rPr>
        <w:t>5</w:t>
      </w:r>
      <w:r w:rsidR="001F3652" w:rsidRPr="001F3652">
        <w:rPr>
          <w:vertAlign w:val="superscript"/>
        </w:rPr>
        <w:t>,28</w:t>
      </w:r>
      <w:r w:rsidR="001D608F">
        <w:rPr>
          <w:vertAlign w:val="superscript"/>
        </w:rPr>
        <w:t>8</w:t>
      </w:r>
      <w:r w:rsidR="001F3652" w:rsidRPr="001F3652">
        <w:rPr>
          <w:vertAlign w:val="superscript"/>
        </w:rPr>
        <w:t>,30</w:t>
      </w:r>
      <w:r w:rsidR="001D608F">
        <w:rPr>
          <w:vertAlign w:val="superscript"/>
        </w:rPr>
        <w:t>5</w:t>
      </w:r>
      <w:r w:rsidR="001F3652" w:rsidRPr="001F3652">
        <w:rPr>
          <w:vertAlign w:val="superscript"/>
        </w:rPr>
        <w:t>,30</w:t>
      </w:r>
      <w:r w:rsidR="001D608F">
        <w:rPr>
          <w:vertAlign w:val="superscript"/>
        </w:rPr>
        <w:t>7</w:t>
      </w:r>
      <w:r w:rsidRPr="008F3377">
        <w:t xml:space="preserve"> </w:t>
      </w:r>
      <w:r>
        <w:t xml:space="preserve">which investigated the effectiveness of different immune therapies administered to immunocompromised patients with chronic norovirus infection. These studies included a total of six patients. None of these interventions resulted in norovirus clearance. Symptom improvement was observed in one patient given </w:t>
      </w:r>
      <w:r w:rsidRPr="00BD400C">
        <w:t>Ibrutinib (</w:t>
      </w:r>
      <w:r>
        <w:t xml:space="preserve">reported that patient later </w:t>
      </w:r>
      <w:r w:rsidRPr="00BD400C">
        <w:t xml:space="preserve">relapsed) and </w:t>
      </w:r>
      <w:r>
        <w:t>one given</w:t>
      </w:r>
      <w:r w:rsidRPr="00BD400C">
        <w:t xml:space="preserve"> Infliximab rescue therapy</w:t>
      </w:r>
      <w:r>
        <w:t>. Patients given Rituximab (with high-dose steroids), Interleukin-2 therapy, interferons and anti-</w:t>
      </w:r>
      <w:proofErr w:type="spellStart"/>
      <w:r>
        <w:t>tumor</w:t>
      </w:r>
      <w:proofErr w:type="spellEnd"/>
      <w:r>
        <w:t xml:space="preserve"> necrosis factor-α antibodies did not respond to these therapies. It was also reported that a patient given </w:t>
      </w:r>
      <w:r w:rsidRPr="00BD400C">
        <w:t xml:space="preserve">Rituximab </w:t>
      </w:r>
      <w:r>
        <w:t>together with</w:t>
      </w:r>
      <w:r w:rsidRPr="00BD400C">
        <w:t xml:space="preserve"> </w:t>
      </w:r>
      <w:r>
        <w:t xml:space="preserve">a </w:t>
      </w:r>
      <w:r w:rsidRPr="00BD400C">
        <w:t xml:space="preserve">high dose </w:t>
      </w:r>
      <w:r>
        <w:t xml:space="preserve">of </w:t>
      </w:r>
      <w:r w:rsidRPr="00BD400C">
        <w:t>steroids</w:t>
      </w:r>
      <w:r>
        <w:t xml:space="preserve"> deteriorated further. </w:t>
      </w:r>
    </w:p>
    <w:p w14:paraId="697DD936" w14:textId="327D2AF1" w:rsidR="00EA5AEB" w:rsidRDefault="00EA5AEB" w:rsidP="00EA5AEB">
      <w:pPr>
        <w:pStyle w:val="Heading4"/>
      </w:pPr>
      <w:r>
        <w:lastRenderedPageBreak/>
        <w:t>Modulators of gut microbiome</w:t>
      </w:r>
    </w:p>
    <w:p w14:paraId="1A6DE13A" w14:textId="6E6B6BAF" w:rsidR="00EA5AEB" w:rsidRDefault="00EA5AEB" w:rsidP="00EA5AEB">
      <w:pPr>
        <w:spacing w:before="240" w:line="276" w:lineRule="auto"/>
      </w:pPr>
      <w:r w:rsidRPr="0095272F">
        <w:t xml:space="preserve">There was </w:t>
      </w:r>
      <w:r w:rsidRPr="005A7226">
        <w:t xml:space="preserve">inconsistent </w:t>
      </w:r>
      <w:r w:rsidRPr="00B15BBD">
        <w:t>evidence</w:t>
      </w:r>
      <w:r>
        <w:t xml:space="preserve"> from two case studies</w:t>
      </w:r>
      <w:r>
        <w:rPr>
          <w:vertAlign w:val="superscript"/>
        </w:rPr>
        <w:t>30</w:t>
      </w:r>
      <w:r w:rsidR="001D608F">
        <w:rPr>
          <w:vertAlign w:val="superscript"/>
        </w:rPr>
        <w:t>7</w:t>
      </w:r>
      <w:r>
        <w:rPr>
          <w:vertAlign w:val="superscript"/>
        </w:rPr>
        <w:t>,3</w:t>
      </w:r>
      <w:r w:rsidR="001F3652">
        <w:rPr>
          <w:vertAlign w:val="superscript"/>
        </w:rPr>
        <w:t>0</w:t>
      </w:r>
      <w:r w:rsidR="001D608F">
        <w:rPr>
          <w:vertAlign w:val="superscript"/>
        </w:rPr>
        <w:t>8</w:t>
      </w:r>
      <w:r w:rsidRPr="008F3377">
        <w:t xml:space="preserve"> </w:t>
      </w:r>
      <w:r>
        <w:t xml:space="preserve">which investigated the effectiveness of faecal microbiota transplant administered to two immunocompromised patients with chronic norovirus infection. One study reported that norovirus clearance occurred in one patient and the other patient did not respond to the therapy. </w:t>
      </w:r>
      <w:r w:rsidRPr="00BD400C">
        <w:t xml:space="preserve">Side effects </w:t>
      </w:r>
      <w:r>
        <w:t xml:space="preserve">were </w:t>
      </w:r>
      <w:r w:rsidRPr="00BD400C">
        <w:t>not observed</w:t>
      </w:r>
      <w:r>
        <w:t>.</w:t>
      </w:r>
    </w:p>
    <w:p w14:paraId="2CAFA701" w14:textId="1E8CEF2F" w:rsidR="00EA5AEB" w:rsidRDefault="00EA5AEB" w:rsidP="00EA5AEB">
      <w:pPr>
        <w:spacing w:before="240" w:line="276" w:lineRule="auto"/>
      </w:pPr>
      <w:r w:rsidRPr="0095272F">
        <w:t>There was</w:t>
      </w:r>
      <w:r w:rsidRPr="005A7226">
        <w:t xml:space="preserve"> weak</w:t>
      </w:r>
      <w:r w:rsidRPr="00B15BBD">
        <w:t xml:space="preserve"> evidence</w:t>
      </w:r>
      <w:r>
        <w:t xml:space="preserve"> of no benefit from </w:t>
      </w:r>
      <w:r w:rsidR="00024BD8">
        <w:t>one</w:t>
      </w:r>
      <w:r>
        <w:t xml:space="preserve"> case stud</w:t>
      </w:r>
      <w:r w:rsidR="00024BD8">
        <w:t>y,</w:t>
      </w:r>
      <w:r w:rsidR="001F3652">
        <w:rPr>
          <w:vertAlign w:val="superscript"/>
        </w:rPr>
        <w:t>28</w:t>
      </w:r>
      <w:r w:rsidR="001D608F">
        <w:rPr>
          <w:vertAlign w:val="superscript"/>
        </w:rPr>
        <w:t>2</w:t>
      </w:r>
      <w:r>
        <w:t xml:space="preserve"> which investigated the effectiveness </w:t>
      </w:r>
      <w:r w:rsidR="00024BD8">
        <w:t>probiotics</w:t>
      </w:r>
      <w:r>
        <w:t xml:space="preserve"> in </w:t>
      </w:r>
      <w:r w:rsidR="00024BD8">
        <w:t xml:space="preserve">one </w:t>
      </w:r>
      <w:r>
        <w:t xml:space="preserve">immunocompromised patient with chronic norovirus infection. </w:t>
      </w:r>
      <w:r w:rsidR="00024BD8">
        <w:t>The</w:t>
      </w:r>
      <w:r>
        <w:t xml:space="preserve"> intervention </w:t>
      </w:r>
      <w:r w:rsidR="00024BD8">
        <w:t xml:space="preserve">did not </w:t>
      </w:r>
      <w:r>
        <w:t>result in norovirus clearance</w:t>
      </w:r>
      <w:r w:rsidR="00024BD8">
        <w:t xml:space="preserve"> or symptom improvement</w:t>
      </w:r>
      <w:r>
        <w:t xml:space="preserve">. No side effects were reported. </w:t>
      </w:r>
    </w:p>
    <w:p w14:paraId="3CEB5F31" w14:textId="50CCAF83" w:rsidR="00EA5AEB" w:rsidRDefault="00EA5AEB" w:rsidP="00EA5AEB">
      <w:pPr>
        <w:pStyle w:val="Heading4"/>
      </w:pPr>
      <w:r>
        <w:t>Modifications to immunosuppression therapy regimens</w:t>
      </w:r>
    </w:p>
    <w:p w14:paraId="126DCF14" w14:textId="5C27B277" w:rsidR="00E87A11" w:rsidRDefault="00E87A11" w:rsidP="00CF7116">
      <w:pPr>
        <w:spacing w:before="240" w:line="276" w:lineRule="auto"/>
      </w:pPr>
      <w:r w:rsidRPr="0095272F">
        <w:t xml:space="preserve">There was </w:t>
      </w:r>
      <w:r w:rsidRPr="005A7226">
        <w:t xml:space="preserve">weak </w:t>
      </w:r>
      <w:r w:rsidRPr="00B15BBD">
        <w:t>evidence</w:t>
      </w:r>
      <w:r>
        <w:t xml:space="preserve"> </w:t>
      </w:r>
      <w:r w:rsidR="005A7226">
        <w:t xml:space="preserve">of benefit </w:t>
      </w:r>
      <w:r>
        <w:t>from eleven case studies/series</w:t>
      </w:r>
      <w:r w:rsidR="001F3652" w:rsidRPr="001F3652">
        <w:rPr>
          <w:vertAlign w:val="superscript"/>
        </w:rPr>
        <w:t>28</w:t>
      </w:r>
      <w:r w:rsidR="001D608F">
        <w:rPr>
          <w:vertAlign w:val="superscript"/>
        </w:rPr>
        <w:t>6</w:t>
      </w:r>
      <w:r w:rsidR="001F3652" w:rsidRPr="001F3652">
        <w:rPr>
          <w:vertAlign w:val="superscript"/>
        </w:rPr>
        <w:t>,2</w:t>
      </w:r>
      <w:r w:rsidR="001D608F">
        <w:rPr>
          <w:vertAlign w:val="superscript"/>
        </w:rPr>
        <w:t>89</w:t>
      </w:r>
      <w:r w:rsidR="001F3652" w:rsidRPr="001F3652">
        <w:rPr>
          <w:vertAlign w:val="superscript"/>
        </w:rPr>
        <w:t>,29</w:t>
      </w:r>
      <w:r w:rsidR="001D608F">
        <w:rPr>
          <w:vertAlign w:val="superscript"/>
        </w:rPr>
        <w:t>1</w:t>
      </w:r>
      <w:r w:rsidR="001F3652" w:rsidRPr="001F3652">
        <w:rPr>
          <w:vertAlign w:val="superscript"/>
        </w:rPr>
        <w:t>,29</w:t>
      </w:r>
      <w:r w:rsidR="001D608F">
        <w:rPr>
          <w:vertAlign w:val="superscript"/>
        </w:rPr>
        <w:t>6</w:t>
      </w:r>
      <w:r w:rsidR="001F3652" w:rsidRPr="001F3652">
        <w:rPr>
          <w:vertAlign w:val="superscript"/>
        </w:rPr>
        <w:t>,</w:t>
      </w:r>
      <w:r w:rsidR="001D608F">
        <w:rPr>
          <w:vertAlign w:val="superscript"/>
        </w:rPr>
        <w:t>299</w:t>
      </w:r>
      <w:r w:rsidR="001F3652" w:rsidRPr="001F3652">
        <w:rPr>
          <w:vertAlign w:val="superscript"/>
        </w:rPr>
        <w:t>,30</w:t>
      </w:r>
      <w:r w:rsidR="001D608F">
        <w:rPr>
          <w:vertAlign w:val="superscript"/>
        </w:rPr>
        <w:t>3</w:t>
      </w:r>
      <w:r w:rsidR="001F3652" w:rsidRPr="001F3652">
        <w:rPr>
          <w:vertAlign w:val="superscript"/>
        </w:rPr>
        <w:t>,3</w:t>
      </w:r>
      <w:r w:rsidR="001D608F">
        <w:rPr>
          <w:vertAlign w:val="superscript"/>
        </w:rPr>
        <w:t>09</w:t>
      </w:r>
      <w:r w:rsidR="001F3652" w:rsidRPr="001F3652">
        <w:rPr>
          <w:vertAlign w:val="superscript"/>
        </w:rPr>
        <w:t>-31</w:t>
      </w:r>
      <w:r w:rsidR="001D608F">
        <w:rPr>
          <w:vertAlign w:val="superscript"/>
        </w:rPr>
        <w:t>3</w:t>
      </w:r>
      <w:r>
        <w:t xml:space="preserve"> which investigated the effectiveness of reducing or withdrawing immunosuppression in patients with norovirus infection. These studies included a total of 17 patients of whom twelve were chronically infected, two were acutely infected and in three it was not possible to determine how long the infection lasted. Of twelve chronic patients who had immunosuppression reduced or withdrawn, six (50%, one in conjunction with nitazoxanide and one with immunoglobulin) had an evidence of norovirus clearance and in further three (25%) symptoms improved. It was reported that one of the patients who experienced an improvement relapsed later and also required an increase in immunosuppression for graft rejection. Both patients who had </w:t>
      </w:r>
      <w:r w:rsidR="005D7997">
        <w:t xml:space="preserve">an </w:t>
      </w:r>
      <w:r>
        <w:t xml:space="preserve">acute episode of norovirus infection experienced improvement in symptoms without norovirus clearance. From the group of patients in whom it was not possible to determine the duration of infection, improvement was noted in two (67%) patients and one (33%) did not respond to the therapy. </w:t>
      </w:r>
    </w:p>
    <w:p w14:paraId="3273DC20" w14:textId="0AAF5446" w:rsidR="00E87A11" w:rsidRDefault="00E87A11" w:rsidP="00CF7116">
      <w:pPr>
        <w:spacing w:before="240" w:line="276" w:lineRule="auto"/>
      </w:pPr>
      <w:r w:rsidRPr="0095272F">
        <w:t xml:space="preserve">There was </w:t>
      </w:r>
      <w:r w:rsidR="005A7226" w:rsidRPr="005A7226">
        <w:t>very weak evidence</w:t>
      </w:r>
      <w:r w:rsidR="005A7226">
        <w:t xml:space="preserve"> of benefit </w:t>
      </w:r>
      <w:r>
        <w:t>from two case studies</w:t>
      </w:r>
      <w:r w:rsidR="00CB05F8">
        <w:t>,</w:t>
      </w:r>
      <w:r w:rsidR="00CB05F8">
        <w:rPr>
          <w:vertAlign w:val="superscript"/>
        </w:rPr>
        <w:t>30</w:t>
      </w:r>
      <w:r w:rsidR="001D608F">
        <w:rPr>
          <w:vertAlign w:val="superscript"/>
        </w:rPr>
        <w:t>3</w:t>
      </w:r>
      <w:r w:rsidR="00CB05F8">
        <w:rPr>
          <w:vertAlign w:val="superscript"/>
        </w:rPr>
        <w:t>,31</w:t>
      </w:r>
      <w:r w:rsidR="001D608F">
        <w:rPr>
          <w:vertAlign w:val="superscript"/>
        </w:rPr>
        <w:t>4</w:t>
      </w:r>
      <w:r w:rsidRPr="008F3377">
        <w:t xml:space="preserve"> </w:t>
      </w:r>
      <w:r>
        <w:t xml:space="preserve">which investigated the effectiveness of changing immunosuppressive therapy in patients with chronic norovirus infection. One study reported that norovirus clearance occurred in patient </w:t>
      </w:r>
      <w:r w:rsidRPr="00BD400C">
        <w:t xml:space="preserve">with sirolimus substituted for tacrolimus and </w:t>
      </w:r>
      <w:r>
        <w:t>another patient experienced symptom</w:t>
      </w:r>
      <w:r w:rsidRPr="00BD400C">
        <w:t xml:space="preserve"> improvement with </w:t>
      </w:r>
      <w:r>
        <w:t>a c</w:t>
      </w:r>
      <w:r w:rsidRPr="00BD400C">
        <w:t>hange from mycophenolate to azathioprine</w:t>
      </w:r>
      <w:r>
        <w:t xml:space="preserve">. </w:t>
      </w:r>
      <w:r w:rsidRPr="00BD400C">
        <w:t xml:space="preserve">Side effects </w:t>
      </w:r>
      <w:r>
        <w:t xml:space="preserve">were </w:t>
      </w:r>
      <w:r w:rsidRPr="00BD400C">
        <w:t>not observed</w:t>
      </w:r>
      <w:r>
        <w:t>.</w:t>
      </w:r>
    </w:p>
    <w:p w14:paraId="21D091D7" w14:textId="400647BA" w:rsidR="00E87A11" w:rsidRDefault="00E87A11" w:rsidP="00CF7116">
      <w:pPr>
        <w:spacing w:before="240" w:line="276" w:lineRule="auto"/>
      </w:pPr>
      <w:r w:rsidRPr="0095272F">
        <w:t xml:space="preserve">There was </w:t>
      </w:r>
      <w:r w:rsidR="005A7226" w:rsidRPr="005A7226">
        <w:t>very weak evidence</w:t>
      </w:r>
      <w:r w:rsidR="005A7226">
        <w:t xml:space="preserve"> of no benefit </w:t>
      </w:r>
      <w:r>
        <w:t>from five case studies/series</w:t>
      </w:r>
      <w:r w:rsidR="00FD741B">
        <w:t>,</w:t>
      </w:r>
      <w:r w:rsidR="00CB05F8">
        <w:rPr>
          <w:vertAlign w:val="superscript"/>
        </w:rPr>
        <w:t>28</w:t>
      </w:r>
      <w:r w:rsidR="001D608F">
        <w:rPr>
          <w:vertAlign w:val="superscript"/>
        </w:rPr>
        <w:t>1</w:t>
      </w:r>
      <w:r w:rsidR="00CB05F8">
        <w:rPr>
          <w:vertAlign w:val="superscript"/>
        </w:rPr>
        <w:t>,28</w:t>
      </w:r>
      <w:r w:rsidR="001D608F">
        <w:rPr>
          <w:vertAlign w:val="superscript"/>
        </w:rPr>
        <w:t>8</w:t>
      </w:r>
      <w:r w:rsidRPr="008F3377">
        <w:t xml:space="preserve"> </w:t>
      </w:r>
      <w:r>
        <w:t>which investigated the effectiveness of steroids administered to immunocompromised patients with chronic norovirus infection. These studies included a total of nine patients, none of whom had a norovirus clearance. One patient experienced symptom improvement</w:t>
      </w:r>
      <w:r w:rsidRPr="00BD400C">
        <w:t xml:space="preserve"> </w:t>
      </w:r>
      <w:r>
        <w:t xml:space="preserve">when given </w:t>
      </w:r>
      <w:r w:rsidR="005D7997">
        <w:t xml:space="preserve">a </w:t>
      </w:r>
      <w:r>
        <w:t>low dose of</w:t>
      </w:r>
      <w:r w:rsidRPr="00BD400C">
        <w:t xml:space="preserve"> </w:t>
      </w:r>
      <w:r>
        <w:t>p</w:t>
      </w:r>
      <w:r w:rsidRPr="00BD400C">
        <w:t xml:space="preserve">rednisolone </w:t>
      </w:r>
      <w:r>
        <w:t>with</w:t>
      </w:r>
      <w:r w:rsidRPr="00BD400C">
        <w:t xml:space="preserve"> abatacept</w:t>
      </w:r>
      <w:r>
        <w:t xml:space="preserve">. There were no side effects in seven patients who were given </w:t>
      </w:r>
      <w:r w:rsidR="005D7997">
        <w:t xml:space="preserve">a </w:t>
      </w:r>
      <w:r>
        <w:t xml:space="preserve">low dose of steroids but two patients on higher doses were reported to have deteriorated further. </w:t>
      </w:r>
    </w:p>
    <w:p w14:paraId="67CF523A" w14:textId="39CFA629" w:rsidR="00EA5AEB" w:rsidRDefault="00EA5AEB" w:rsidP="00EA5AEB">
      <w:pPr>
        <w:pStyle w:val="Heading4"/>
      </w:pPr>
      <w:r>
        <w:t>Other therapies</w:t>
      </w:r>
    </w:p>
    <w:p w14:paraId="5977B341" w14:textId="4FF5B8D8" w:rsidR="00E87A11" w:rsidRDefault="00E87A11" w:rsidP="00CF7116">
      <w:pPr>
        <w:spacing w:before="240" w:line="276" w:lineRule="auto"/>
      </w:pPr>
      <w:r w:rsidRPr="0095272F">
        <w:t xml:space="preserve">There was </w:t>
      </w:r>
      <w:r w:rsidR="005A7226" w:rsidRPr="005A7226">
        <w:t>very weak evidence</w:t>
      </w:r>
      <w:r w:rsidR="005A7226">
        <w:t xml:space="preserve"> of no benefit </w:t>
      </w:r>
      <w:r>
        <w:t>from five case studies/series</w:t>
      </w:r>
      <w:r w:rsidR="00FD741B" w:rsidRPr="00FD741B">
        <w:rPr>
          <w:vertAlign w:val="superscript"/>
        </w:rPr>
        <w:t>28</w:t>
      </w:r>
      <w:r w:rsidR="001D608F">
        <w:rPr>
          <w:vertAlign w:val="superscript"/>
        </w:rPr>
        <w:t>2</w:t>
      </w:r>
      <w:r w:rsidR="00FD741B" w:rsidRPr="00FD741B">
        <w:rPr>
          <w:vertAlign w:val="superscript"/>
        </w:rPr>
        <w:t>,28</w:t>
      </w:r>
      <w:r w:rsidR="001D608F">
        <w:rPr>
          <w:vertAlign w:val="superscript"/>
        </w:rPr>
        <w:t>8</w:t>
      </w:r>
      <w:r w:rsidR="00FD741B" w:rsidRPr="00FD741B">
        <w:rPr>
          <w:vertAlign w:val="superscript"/>
        </w:rPr>
        <w:t>,29</w:t>
      </w:r>
      <w:r w:rsidR="001D608F">
        <w:rPr>
          <w:vertAlign w:val="superscript"/>
        </w:rPr>
        <w:t>1</w:t>
      </w:r>
      <w:r w:rsidR="00FD741B" w:rsidRPr="00FD741B">
        <w:rPr>
          <w:vertAlign w:val="superscript"/>
        </w:rPr>
        <w:t>,30</w:t>
      </w:r>
      <w:r w:rsidR="001D608F">
        <w:rPr>
          <w:vertAlign w:val="superscript"/>
        </w:rPr>
        <w:t>3</w:t>
      </w:r>
      <w:r w:rsidR="00FD741B" w:rsidRPr="00FD741B">
        <w:rPr>
          <w:vertAlign w:val="superscript"/>
        </w:rPr>
        <w:t>,30</w:t>
      </w:r>
      <w:r w:rsidR="001D608F">
        <w:rPr>
          <w:vertAlign w:val="superscript"/>
        </w:rPr>
        <w:t>7</w:t>
      </w:r>
      <w:r w:rsidRPr="008F3377">
        <w:t xml:space="preserve"> </w:t>
      </w:r>
      <w:r>
        <w:t xml:space="preserve">which investigated the effectiveness of other medications administered to immunocompromised patients with chronic norovirus infection. No response was observed in three patients given </w:t>
      </w:r>
      <w:r w:rsidR="005D7997">
        <w:t>o</w:t>
      </w:r>
      <w:r w:rsidRPr="00BD400C">
        <w:t>ctreotide</w:t>
      </w:r>
      <w:r>
        <w:t>,</w:t>
      </w:r>
      <w:r w:rsidR="00FD741B">
        <w:rPr>
          <w:vertAlign w:val="superscript"/>
        </w:rPr>
        <w:t>28</w:t>
      </w:r>
      <w:r w:rsidR="001D608F">
        <w:rPr>
          <w:vertAlign w:val="superscript"/>
        </w:rPr>
        <w:t>2</w:t>
      </w:r>
      <w:r w:rsidRPr="00BD400C">
        <w:rPr>
          <w:vertAlign w:val="superscript"/>
        </w:rPr>
        <w:t>,</w:t>
      </w:r>
      <w:r w:rsidR="00FD741B">
        <w:rPr>
          <w:vertAlign w:val="superscript"/>
        </w:rPr>
        <w:t>29</w:t>
      </w:r>
      <w:r w:rsidR="001D608F">
        <w:rPr>
          <w:vertAlign w:val="superscript"/>
        </w:rPr>
        <w:t>1</w:t>
      </w:r>
      <w:r>
        <w:t xml:space="preserve"> two patients given </w:t>
      </w:r>
      <w:r w:rsidR="005D7997">
        <w:t>c</w:t>
      </w:r>
      <w:r w:rsidRPr="00BD400C">
        <w:t>holestyramine</w:t>
      </w:r>
      <w:r>
        <w:t>,</w:t>
      </w:r>
      <w:r w:rsidR="00FD741B">
        <w:rPr>
          <w:vertAlign w:val="superscript"/>
        </w:rPr>
        <w:t>28</w:t>
      </w:r>
      <w:r w:rsidR="001D608F">
        <w:rPr>
          <w:vertAlign w:val="superscript"/>
        </w:rPr>
        <w:t>2</w:t>
      </w:r>
      <w:r w:rsidRPr="00BD400C">
        <w:rPr>
          <w:vertAlign w:val="superscript"/>
        </w:rPr>
        <w:t>,2</w:t>
      </w:r>
      <w:r w:rsidR="00FD741B">
        <w:rPr>
          <w:vertAlign w:val="superscript"/>
        </w:rPr>
        <w:t>9</w:t>
      </w:r>
      <w:r w:rsidR="001D608F">
        <w:rPr>
          <w:vertAlign w:val="superscript"/>
        </w:rPr>
        <w:t>1</w:t>
      </w:r>
      <w:r>
        <w:t xml:space="preserve"> one patient given </w:t>
      </w:r>
      <w:r w:rsidR="005D7997">
        <w:t>a</w:t>
      </w:r>
      <w:r w:rsidRPr="00BD400C">
        <w:t>zathioprine</w:t>
      </w:r>
      <w:r>
        <w:t>,</w:t>
      </w:r>
      <w:r w:rsidR="00FD741B">
        <w:rPr>
          <w:vertAlign w:val="superscript"/>
        </w:rPr>
        <w:t>28</w:t>
      </w:r>
      <w:r w:rsidR="001D608F">
        <w:rPr>
          <w:vertAlign w:val="superscript"/>
        </w:rPr>
        <w:t>8</w:t>
      </w:r>
      <w:r>
        <w:t xml:space="preserve"> two patients given </w:t>
      </w:r>
      <w:r w:rsidR="005D7997">
        <w:t>m</w:t>
      </w:r>
      <w:r w:rsidRPr="00BD400C">
        <w:t>esalamine</w:t>
      </w:r>
      <w:r w:rsidR="00FD741B">
        <w:rPr>
          <w:vertAlign w:val="superscript"/>
        </w:rPr>
        <w:t>28</w:t>
      </w:r>
      <w:r w:rsidR="001D608F">
        <w:rPr>
          <w:vertAlign w:val="superscript"/>
        </w:rPr>
        <w:t>2</w:t>
      </w:r>
      <w:r w:rsidRPr="00BD400C">
        <w:rPr>
          <w:vertAlign w:val="superscript"/>
        </w:rPr>
        <w:t>,</w:t>
      </w:r>
      <w:r w:rsidR="00FD741B">
        <w:rPr>
          <w:vertAlign w:val="superscript"/>
        </w:rPr>
        <w:t>30</w:t>
      </w:r>
      <w:r w:rsidR="001D608F">
        <w:rPr>
          <w:vertAlign w:val="superscript"/>
        </w:rPr>
        <w:t>7</w:t>
      </w:r>
      <w:r>
        <w:t xml:space="preserve"> and one patient given </w:t>
      </w:r>
      <w:r w:rsidRPr="00BD400C">
        <w:t>ivermectin</w:t>
      </w:r>
      <w:r>
        <w:t>.</w:t>
      </w:r>
      <w:r w:rsidR="00FD741B">
        <w:rPr>
          <w:vertAlign w:val="superscript"/>
        </w:rPr>
        <w:t>30</w:t>
      </w:r>
      <w:r w:rsidR="001D608F">
        <w:rPr>
          <w:vertAlign w:val="superscript"/>
        </w:rPr>
        <w:t>3</w:t>
      </w:r>
      <w:r>
        <w:t xml:space="preserve"> N</w:t>
      </w:r>
      <w:r w:rsidR="005D7997">
        <w:t>o</w:t>
      </w:r>
      <w:r>
        <w:t xml:space="preserve"> side effects were observed in any of these patients. Additionally, three patients were reported to be given antibiotics,</w:t>
      </w:r>
      <w:r w:rsidR="00FD741B" w:rsidRPr="00FD741B">
        <w:rPr>
          <w:vertAlign w:val="superscript"/>
        </w:rPr>
        <w:t>28</w:t>
      </w:r>
      <w:r w:rsidR="001D608F">
        <w:rPr>
          <w:vertAlign w:val="superscript"/>
        </w:rPr>
        <w:t>1</w:t>
      </w:r>
      <w:r>
        <w:t xml:space="preserve"> of whom two </w:t>
      </w:r>
      <w:r>
        <w:lastRenderedPageBreak/>
        <w:t>improved</w:t>
      </w:r>
      <w:r w:rsidR="00FD741B">
        <w:t xml:space="preserve">, however </w:t>
      </w:r>
      <w:r>
        <w:t xml:space="preserve">both </w:t>
      </w:r>
      <w:r w:rsidR="00FD741B">
        <w:t xml:space="preserve">these patients </w:t>
      </w:r>
      <w:r>
        <w:t>also had concomitant bacterial infections. One patient who did not respond to antibiotic therapy</w:t>
      </w:r>
      <w:r w:rsidR="00FD741B">
        <w:t xml:space="preserve">, and who did not have a bacterial infection, </w:t>
      </w:r>
      <w:r>
        <w:t xml:space="preserve">was reported to have deteriorated further. </w:t>
      </w:r>
    </w:p>
    <w:p w14:paraId="03651774" w14:textId="3B5E318F" w:rsidR="003B1825" w:rsidRPr="00014E01" w:rsidRDefault="00F31E76" w:rsidP="00CF7116">
      <w:pPr>
        <w:spacing w:before="240" w:line="276" w:lineRule="auto"/>
        <w:rPr>
          <w:i/>
          <w:iCs/>
        </w:rPr>
      </w:pPr>
      <w:r w:rsidRPr="00F31E76">
        <w:rPr>
          <w:i/>
          <w:iCs/>
        </w:rPr>
        <w:t xml:space="preserve">The Working Party concluded that there is </w:t>
      </w:r>
      <w:r w:rsidR="005A7226" w:rsidRPr="00F31E76">
        <w:rPr>
          <w:i/>
          <w:iCs/>
        </w:rPr>
        <w:t xml:space="preserve">some evidence of benefit for some therapeutic interventions for </w:t>
      </w:r>
      <w:r w:rsidRPr="00F31E76">
        <w:rPr>
          <w:i/>
          <w:iCs/>
        </w:rPr>
        <w:t xml:space="preserve">immunocompromised </w:t>
      </w:r>
      <w:r w:rsidR="005A7226" w:rsidRPr="00F31E76">
        <w:rPr>
          <w:i/>
          <w:iCs/>
        </w:rPr>
        <w:t xml:space="preserve">patients </w:t>
      </w:r>
      <w:r w:rsidRPr="00F31E76">
        <w:rPr>
          <w:i/>
          <w:iCs/>
        </w:rPr>
        <w:t>with norovirus infection</w:t>
      </w:r>
      <w:r w:rsidR="005A7226" w:rsidRPr="00F31E76">
        <w:rPr>
          <w:i/>
          <w:iCs/>
        </w:rPr>
        <w:t>, however more work would be needed before any recommendations could be made.</w:t>
      </w:r>
      <w:r w:rsidRPr="00F31E76">
        <w:rPr>
          <w:i/>
          <w:iCs/>
        </w:rPr>
        <w:t xml:space="preserve"> The Working Party would like to highlight that for some of these therapies, h</w:t>
      </w:r>
      <w:r w:rsidR="003B1825" w:rsidRPr="00F31E76">
        <w:rPr>
          <w:i/>
          <w:iCs/>
        </w:rPr>
        <w:t>arm may o</w:t>
      </w:r>
      <w:r w:rsidR="00364DC7">
        <w:rPr>
          <w:i/>
          <w:iCs/>
        </w:rPr>
        <w:t>ut</w:t>
      </w:r>
      <w:r w:rsidR="003B1825" w:rsidRPr="00F31E76">
        <w:rPr>
          <w:i/>
          <w:iCs/>
        </w:rPr>
        <w:t xml:space="preserve">weigh the benefits. </w:t>
      </w:r>
      <w:r>
        <w:rPr>
          <w:i/>
          <w:iCs/>
        </w:rPr>
        <w:t>Thus, any decision about the norovirus therapy for immunocompromised patients needs to be made based on individual’s risk. Similarly, no recommendations can currently be made for patients with chronic norovirus infection.</w:t>
      </w:r>
      <w:r w:rsidR="000E41A6">
        <w:rPr>
          <w:i/>
          <w:iCs/>
        </w:rPr>
        <w:t xml:space="preserve"> </w:t>
      </w:r>
    </w:p>
    <w:p w14:paraId="7A779BEF" w14:textId="77777777" w:rsidR="00E87A11" w:rsidRPr="006245E4" w:rsidRDefault="00E87A11" w:rsidP="00CF7116">
      <w:pPr>
        <w:spacing w:line="276" w:lineRule="auto"/>
        <w:rPr>
          <w:b/>
          <w:bCs/>
        </w:rPr>
      </w:pPr>
      <w:r w:rsidRPr="006245E4">
        <w:rPr>
          <w:b/>
          <w:bCs/>
        </w:rPr>
        <w:t>Recommendations:</w:t>
      </w:r>
    </w:p>
    <w:p w14:paraId="59A626B2" w14:textId="0C119254" w:rsidR="00E87A11" w:rsidRPr="005A7226" w:rsidRDefault="00F31E76" w:rsidP="00CF7116">
      <w:pPr>
        <w:spacing w:before="240" w:line="276" w:lineRule="auto"/>
      </w:pPr>
      <w:r w:rsidRPr="00F31E76">
        <w:rPr>
          <w:b/>
          <w:bCs/>
        </w:rPr>
        <w:t>28.1:</w:t>
      </w:r>
      <w:r>
        <w:t xml:space="preserve"> No recommendations</w:t>
      </w:r>
    </w:p>
    <w:p w14:paraId="562752B4" w14:textId="77777777" w:rsidR="00E87A11" w:rsidRPr="006245E4" w:rsidRDefault="00E87A11" w:rsidP="00CF7116">
      <w:pPr>
        <w:spacing w:line="276" w:lineRule="auto"/>
        <w:rPr>
          <w:b/>
          <w:bCs/>
        </w:rPr>
      </w:pPr>
      <w:r w:rsidRPr="006245E4">
        <w:rPr>
          <w:b/>
          <w:bCs/>
        </w:rPr>
        <w:t>Good practice points:</w:t>
      </w:r>
    </w:p>
    <w:p w14:paraId="3D9CADA4" w14:textId="4D391E60" w:rsidR="00E87A11" w:rsidRPr="006245E4" w:rsidRDefault="00F31E76" w:rsidP="00CF7116">
      <w:pPr>
        <w:spacing w:before="240" w:line="276" w:lineRule="auto"/>
      </w:pPr>
      <w:r>
        <w:t>none</w:t>
      </w:r>
    </w:p>
    <w:p w14:paraId="5276640E" w14:textId="77777777" w:rsidR="00E87A11" w:rsidRDefault="00E87A11" w:rsidP="00CF7116">
      <w:pPr>
        <w:spacing w:before="240" w:line="276" w:lineRule="auto"/>
      </w:pPr>
    </w:p>
    <w:bookmarkEnd w:id="34"/>
    <w:p w14:paraId="74A92791" w14:textId="3530BAFD" w:rsidR="00E758C0" w:rsidRDefault="00E758C0" w:rsidP="00CF7116">
      <w:pPr>
        <w:pStyle w:val="Heading2"/>
        <w:spacing w:before="240" w:after="160" w:line="276" w:lineRule="auto"/>
      </w:pPr>
      <w:r>
        <w:t>8.29</w:t>
      </w:r>
      <w:r>
        <w:tab/>
      </w:r>
      <w:bookmarkStart w:id="36" w:name="_Hlk110263181"/>
      <w:r w:rsidRPr="00E758C0">
        <w:t>What is the clinical effectiveness of conducting norovirus surveillance in different settings?</w:t>
      </w:r>
      <w:bookmarkEnd w:id="36"/>
    </w:p>
    <w:p w14:paraId="492C834C" w14:textId="5B024965" w:rsidR="00E758C0" w:rsidRDefault="00C80553" w:rsidP="00C80553">
      <w:pPr>
        <w:spacing w:before="240" w:line="276" w:lineRule="auto"/>
      </w:pPr>
      <w:r>
        <w:t xml:space="preserve">Surveillance systems tend to under-estimate the population burden of norovirus. The last time that national surveillance systems were calibrated in 2008-9 it was estimated that for every case of norovirus reported to national surveillance systems in the UK there were around 300 cases in the community. The reasons for such a wide disparity between measured burden and actual burden include widespread variations in health-seeking behaviour, sampling, testing algorithms and reporting criteria. Norovirus is neither a notifiable disease or a notifiable organism and so reporting is entirely voluntary. The UK Health Security Agency relies on several sources of data to build up a picture of norovirus burden. These are laboratory reports of norovirus infection in cases of acute gastro-enteritis (usually outbreaks), the Hospital Norovirus Outbreak Reporting System, </w:t>
      </w:r>
      <w:proofErr w:type="spellStart"/>
      <w:r>
        <w:t>HPZone</w:t>
      </w:r>
      <w:proofErr w:type="spellEnd"/>
      <w:r>
        <w:t xml:space="preserve"> and norovirus characterisation data from the Enteric Virus Unit. Similar systems exist in the devolved administrations. In Scotland norovirus ward and bay closures are also published. However, none of these systems give an accurate picture. Surveillance is a pre-requisite for understanding when an outbreak has started (i.e. when it should be declared), how it is evolving (whether control measures are working) and when it is over. Surveillance provides vital baseline information on norovirus incidence for these assessments and continuous surveillance is very important. Previous UK guidelines</w:t>
      </w:r>
      <w:r w:rsidR="00AC0F9C" w:rsidRPr="00AC0F9C">
        <w:rPr>
          <w:vertAlign w:val="superscript"/>
        </w:rPr>
        <w:t>1</w:t>
      </w:r>
      <w:r>
        <w:t xml:space="preserve"> also acknowledged the importance of surveillance, although they have not systematically reviewed the evidence about its effectiveness. </w:t>
      </w:r>
    </w:p>
    <w:p w14:paraId="40E78042" w14:textId="29595B59" w:rsidR="00E87A11" w:rsidRDefault="00E87A11" w:rsidP="00CF7116">
      <w:pPr>
        <w:spacing w:before="240" w:line="276" w:lineRule="auto"/>
      </w:pPr>
      <w:r w:rsidRPr="0095272F">
        <w:t xml:space="preserve">There </w:t>
      </w:r>
      <w:r w:rsidRPr="003B1825">
        <w:t>was weak evidence</w:t>
      </w:r>
      <w:r>
        <w:t xml:space="preserve"> of benefit from one </w:t>
      </w:r>
      <w:r w:rsidR="00E2003E">
        <w:t>UBA</w:t>
      </w:r>
      <w:r>
        <w:t xml:space="preserve"> study,</w:t>
      </w:r>
      <w:r w:rsidR="006E215F">
        <w:rPr>
          <w:vertAlign w:val="superscript"/>
        </w:rPr>
        <w:t>31</w:t>
      </w:r>
      <w:r w:rsidR="001D608F">
        <w:rPr>
          <w:vertAlign w:val="superscript"/>
        </w:rPr>
        <w:t>5</w:t>
      </w:r>
      <w:r>
        <w:t xml:space="preserve"> which reported the effectiveness of an established surveillance programme on the prevention of the outbreaks in</w:t>
      </w:r>
      <w:r w:rsidR="005D7997">
        <w:t xml:space="preserve"> the</w:t>
      </w:r>
      <w:r>
        <w:t xml:space="preserve"> healthcare setting. This was a quality improvement project which introduced a bundle of interventions in one hospital over the course of two years. The interventions included education, improving environmental cleaning, prompt identification and isolation o</w:t>
      </w:r>
      <w:r w:rsidR="005D7997">
        <w:t>f</w:t>
      </w:r>
      <w:r>
        <w:t xml:space="preserve"> norovirus cases and more single rooms becoming </w:t>
      </w:r>
      <w:r>
        <w:lastRenderedPageBreak/>
        <w:t>available. The l</w:t>
      </w:r>
      <w:r w:rsidRPr="00351915">
        <w:t xml:space="preserve">ast phase was </w:t>
      </w:r>
      <w:r w:rsidR="005D7997">
        <w:t>the</w:t>
      </w:r>
      <w:r w:rsidRPr="00351915">
        <w:t xml:space="preserve"> introduction of </w:t>
      </w:r>
      <w:r>
        <w:t xml:space="preserve">a </w:t>
      </w:r>
      <w:r w:rsidRPr="00351915">
        <w:t xml:space="preserve">surveillance system which electronically recorded data for </w:t>
      </w:r>
      <w:r>
        <w:t>gastroenteritis</w:t>
      </w:r>
      <w:r w:rsidRPr="00351915">
        <w:t xml:space="preserve"> symptoms of patients each time their vital signs were taken. </w:t>
      </w:r>
      <w:r>
        <w:t>The a</w:t>
      </w:r>
      <w:r w:rsidRPr="00351915">
        <w:t xml:space="preserve">uthors reported that the outbreak pattern </w:t>
      </w:r>
      <w:r>
        <w:t>had some but not a significant effect</w:t>
      </w:r>
      <w:r w:rsidRPr="00351915">
        <w:t xml:space="preserve"> </w:t>
      </w:r>
      <w:r>
        <w:t>after the introduction</w:t>
      </w:r>
      <w:r w:rsidRPr="00351915">
        <w:t xml:space="preserve"> </w:t>
      </w:r>
      <w:r>
        <w:t>of the first</w:t>
      </w:r>
      <w:r w:rsidRPr="00351915">
        <w:t xml:space="preserve"> interventions (from 59 per year to 31 to 21), but following the introduction of</w:t>
      </w:r>
      <w:r w:rsidR="005D7997">
        <w:t xml:space="preserve"> a</w:t>
      </w:r>
      <w:r w:rsidRPr="00351915">
        <w:t xml:space="preserve"> surveillance system, </w:t>
      </w:r>
      <w:r>
        <w:t xml:space="preserve">the </w:t>
      </w:r>
      <w:r w:rsidRPr="00351915">
        <w:t xml:space="preserve">number of outbreaks </w:t>
      </w:r>
      <w:r>
        <w:t xml:space="preserve">rapidly </w:t>
      </w:r>
      <w:r w:rsidRPr="00351915">
        <w:t xml:space="preserve">reduced to 3, 2, 2, and 1. Similar patterns were </w:t>
      </w:r>
      <w:r>
        <w:t xml:space="preserve">also </w:t>
      </w:r>
      <w:r w:rsidRPr="00351915">
        <w:t xml:space="preserve">observed for other outcome measures (data not reported). </w:t>
      </w:r>
      <w:r>
        <w:t xml:space="preserve">The incidence rate ratio (IRR) for the outbreaks occurring after the introduction of the surveillance system was </w:t>
      </w:r>
      <w:r w:rsidRPr="00351915">
        <w:t>0.095 [</w:t>
      </w:r>
      <w:r>
        <w:t xml:space="preserve">CI 95% </w:t>
      </w:r>
      <w:r w:rsidRPr="00351915">
        <w:t>0.042-0.215]</w:t>
      </w:r>
      <w:r>
        <w:t xml:space="preserve">, which represented -90.5% change from the number of outbreaks before the interventions. The surveillance also had a positive effect on the number of patients affected by the outbreaks (-92.0% change), number of staff affected (-81.4% change) and the number of days when disruption (e.g. bed closures) was reported (-88.4% change). At the same time, a positive change </w:t>
      </w:r>
      <w:r w:rsidR="003B1825">
        <w:t>was</w:t>
      </w:r>
      <w:r>
        <w:t xml:space="preserve"> observed for the average annual percentage of bed occupancy (min-max 78.5% - 83.1% before the intervention and min-max 86.9% - 91.2% after an intervention, significance not reported). To balance the risk of bias due to the study design, the authors also compared the incidence risk ratio of norovirus outbreaks occurring in the neighbouring hospitals in the area</w:t>
      </w:r>
      <w:r w:rsidR="003B1825">
        <w:t>,</w:t>
      </w:r>
      <w:r>
        <w:t xml:space="preserve"> as well as the overall incidence of norovirus outbreaks occurring in all hospitals in England for the same period. The authors reported that the incidence slightly decreased in other hospitals, but that this difference was not significant (0.854 [95% CI 0.435-1.676] for neighbouring hospitals and 0.724 [95% CI 0.412-1.272] for England overall). These ratios represent a percentage change of </w:t>
      </w:r>
      <w:r w:rsidRPr="00351915">
        <w:t>-14.5%</w:t>
      </w:r>
      <w:r>
        <w:t xml:space="preserve"> and </w:t>
      </w:r>
      <w:r w:rsidRPr="00351915">
        <w:t>-27.5%</w:t>
      </w:r>
      <w:r>
        <w:t xml:space="preserve"> respectively which are much lower than that observed in the hospital where quality improvement project was undertaken. </w:t>
      </w:r>
    </w:p>
    <w:p w14:paraId="0C302C36" w14:textId="1AF7D451" w:rsidR="00E87A11" w:rsidRDefault="00E87A11" w:rsidP="00CF7116">
      <w:pPr>
        <w:spacing w:before="240" w:line="276" w:lineRule="auto"/>
      </w:pPr>
      <w:r w:rsidRPr="0095272F">
        <w:t xml:space="preserve">There </w:t>
      </w:r>
      <w:r w:rsidR="003B1825" w:rsidRPr="003B1825">
        <w:t>was weak evidence</w:t>
      </w:r>
      <w:r w:rsidR="003B1825">
        <w:t xml:space="preserve"> of benefit </w:t>
      </w:r>
      <w:r>
        <w:t>from one surveillance study</w:t>
      </w:r>
      <w:r w:rsidR="006E215F">
        <w:rPr>
          <w:vertAlign w:val="superscript"/>
        </w:rPr>
        <w:t>31</w:t>
      </w:r>
      <w:r w:rsidR="001D608F">
        <w:rPr>
          <w:vertAlign w:val="superscript"/>
        </w:rPr>
        <w:t>6</w:t>
      </w:r>
      <w:r>
        <w:t xml:space="preserve"> and two outbreak studies,</w:t>
      </w:r>
      <w:r w:rsidR="006E215F" w:rsidRPr="006E215F">
        <w:rPr>
          <w:vertAlign w:val="superscript"/>
        </w:rPr>
        <w:t>48,</w:t>
      </w:r>
      <w:r>
        <w:rPr>
          <w:vertAlign w:val="superscript"/>
        </w:rPr>
        <w:t>3</w:t>
      </w:r>
      <w:r w:rsidR="006E215F">
        <w:rPr>
          <w:vertAlign w:val="superscript"/>
        </w:rPr>
        <w:t>1</w:t>
      </w:r>
      <w:r w:rsidR="001D608F">
        <w:rPr>
          <w:vertAlign w:val="superscript"/>
        </w:rPr>
        <w:t>7</w:t>
      </w:r>
      <w:r>
        <w:t xml:space="preserve"> which reported the effectiveness of an established surveillance programme on outbreak progression outside</w:t>
      </w:r>
      <w:r w:rsidR="003B1825">
        <w:t xml:space="preserve"> a</w:t>
      </w:r>
      <w:r>
        <w:t xml:space="preserve"> healthcare setting. One study</w:t>
      </w:r>
      <w:r w:rsidR="006E215F">
        <w:rPr>
          <w:vertAlign w:val="superscript"/>
        </w:rPr>
        <w:t>31</w:t>
      </w:r>
      <w:r w:rsidR="001D608F">
        <w:rPr>
          <w:vertAlign w:val="superscript"/>
        </w:rPr>
        <w:t>6</w:t>
      </w:r>
      <w:r>
        <w:t xml:space="preserve"> d</w:t>
      </w:r>
      <w:r w:rsidRPr="001E6920">
        <w:t xml:space="preserve">escribed the results of the surveillance </w:t>
      </w:r>
      <w:r>
        <w:t>programme</w:t>
      </w:r>
      <w:r w:rsidRPr="001E6920">
        <w:t xml:space="preserve"> in Shanghai</w:t>
      </w:r>
      <w:r>
        <w:t>, China</w:t>
      </w:r>
      <w:r w:rsidRPr="001E6920">
        <w:t xml:space="preserve"> over </w:t>
      </w:r>
      <w:r>
        <w:t xml:space="preserve">an </w:t>
      </w:r>
      <w:r w:rsidRPr="001E6920">
        <w:t>18</w:t>
      </w:r>
      <w:r>
        <w:t xml:space="preserve"> </w:t>
      </w:r>
      <w:r w:rsidRPr="001E6920">
        <w:t>m</w:t>
      </w:r>
      <w:r>
        <w:t>onth</w:t>
      </w:r>
      <w:r w:rsidRPr="001E6920">
        <w:t xml:space="preserve"> period. </w:t>
      </w:r>
      <w:r>
        <w:t>This s</w:t>
      </w:r>
      <w:r w:rsidRPr="001E6920">
        <w:t xml:space="preserve">urveillance system </w:t>
      </w:r>
      <w:r>
        <w:t xml:space="preserve">was </w:t>
      </w:r>
      <w:r w:rsidRPr="001E6920">
        <w:t xml:space="preserve">designed to detect possible disease outbreaks based on student </w:t>
      </w:r>
      <w:r>
        <w:t>and</w:t>
      </w:r>
      <w:r w:rsidRPr="001E6920">
        <w:t xml:space="preserve"> staff absences in all schools </w:t>
      </w:r>
      <w:r>
        <w:t>and</w:t>
      </w:r>
      <w:r w:rsidRPr="001E6920">
        <w:t xml:space="preserve"> kindergartens each day.</w:t>
      </w:r>
      <w:r>
        <w:t xml:space="preserve"> The authors reported </w:t>
      </w:r>
      <w:r w:rsidR="003B1825">
        <w:t xml:space="preserve">that </w:t>
      </w:r>
      <w:r>
        <w:t>a total of</w:t>
      </w:r>
      <w:r w:rsidRPr="001E6920">
        <w:t xml:space="preserve"> </w:t>
      </w:r>
      <w:r>
        <w:t>189</w:t>
      </w:r>
      <w:r w:rsidRPr="001E6920">
        <w:t xml:space="preserve"> </w:t>
      </w:r>
      <w:r>
        <w:t>norovirus</w:t>
      </w:r>
      <w:r w:rsidRPr="001E6920">
        <w:t xml:space="preserve"> bud events</w:t>
      </w:r>
      <w:r>
        <w:t xml:space="preserve"> (early sign of potential infectious disease outbreaks)</w:t>
      </w:r>
      <w:r w:rsidRPr="001E6920">
        <w:t xml:space="preserve"> </w:t>
      </w:r>
      <w:r>
        <w:t>occurred in</w:t>
      </w:r>
      <w:r w:rsidRPr="001E6920">
        <w:t xml:space="preserve"> schools </w:t>
      </w:r>
      <w:r>
        <w:t>and</w:t>
      </w:r>
      <w:r w:rsidRPr="001E6920">
        <w:t xml:space="preserve"> kindergartens</w:t>
      </w:r>
      <w:r>
        <w:t xml:space="preserve"> during the study period and that these events affected a total of 3840 students and staff</w:t>
      </w:r>
      <w:r w:rsidRPr="001E6920">
        <w:t>.</w:t>
      </w:r>
      <w:r>
        <w:t xml:space="preserve"> The authors</w:t>
      </w:r>
      <w:r w:rsidRPr="001E6920">
        <w:t xml:space="preserve"> </w:t>
      </w:r>
      <w:r>
        <w:t>r</w:t>
      </w:r>
      <w:r w:rsidRPr="001E6920">
        <w:t xml:space="preserve">eported that </w:t>
      </w:r>
      <w:r>
        <w:t xml:space="preserve">the </w:t>
      </w:r>
      <w:r w:rsidRPr="001E6920">
        <w:t xml:space="preserve">median </w:t>
      </w:r>
      <w:r>
        <w:t>number</w:t>
      </w:r>
      <w:r w:rsidRPr="001E6920">
        <w:t xml:space="preserve"> of cases per bud event</w:t>
      </w:r>
      <w:r>
        <w:t>, and</w:t>
      </w:r>
      <w:r w:rsidRPr="001E6920">
        <w:t xml:space="preserve"> the attack rates</w:t>
      </w:r>
      <w:r w:rsidR="003B1825">
        <w:t>,</w:t>
      </w:r>
      <w:r w:rsidRPr="001E6920">
        <w:t xml:space="preserve"> were lower than what ha</w:t>
      </w:r>
      <w:r w:rsidR="003B1825">
        <w:t>d</w:t>
      </w:r>
      <w:r w:rsidRPr="001E6920">
        <w:t xml:space="preserve"> been reported in the literature.</w:t>
      </w:r>
      <w:r>
        <w:t xml:space="preserve"> They</w:t>
      </w:r>
      <w:r w:rsidRPr="001E6920">
        <w:t xml:space="preserve"> hypothesised that this could </w:t>
      </w:r>
      <w:r>
        <w:t xml:space="preserve">have </w:t>
      </w:r>
      <w:r w:rsidRPr="001E6920">
        <w:t>be</w:t>
      </w:r>
      <w:r>
        <w:t>en</w:t>
      </w:r>
      <w:r w:rsidRPr="001E6920">
        <w:t xml:space="preserve"> due to</w:t>
      </w:r>
      <w:r>
        <w:t xml:space="preserve"> an</w:t>
      </w:r>
      <w:r w:rsidRPr="001E6920">
        <w:t xml:space="preserve"> early detection </w:t>
      </w:r>
      <w:r>
        <w:t xml:space="preserve">of these events </w:t>
      </w:r>
      <w:r w:rsidRPr="001E6920">
        <w:t>from the surveillance system</w:t>
      </w:r>
      <w:r>
        <w:t xml:space="preserve"> and the subsequent control measures being put in place. It was reported that the </w:t>
      </w:r>
      <w:r w:rsidRPr="001E6920">
        <w:t xml:space="preserve">average time from </w:t>
      </w:r>
      <w:r>
        <w:t xml:space="preserve">the occurrence of the </w:t>
      </w:r>
      <w:r w:rsidRPr="001E6920">
        <w:t xml:space="preserve">first case to reporting was </w:t>
      </w:r>
      <w:r>
        <w:t>two days and the</w:t>
      </w:r>
      <w:r w:rsidRPr="001E6920">
        <w:t xml:space="preserve"> max</w:t>
      </w:r>
      <w:r>
        <w:t>imum</w:t>
      </w:r>
      <w:r w:rsidRPr="001E6920">
        <w:t xml:space="preserve"> time was </w:t>
      </w:r>
      <w:r w:rsidR="001128A6">
        <w:t>six</w:t>
      </w:r>
      <w:r>
        <w:t xml:space="preserve"> </w:t>
      </w:r>
      <w:r w:rsidRPr="001E6920">
        <w:t>d</w:t>
      </w:r>
      <w:r>
        <w:t>ays</w:t>
      </w:r>
      <w:r w:rsidRPr="001E6920">
        <w:t>.</w:t>
      </w:r>
      <w:r>
        <w:t xml:space="preserve"> The authors concluded that this type of surveillance system was beneficial in recognising outbreaks early and therefore potentially preventing transmission of norovirus to unaffected individuals. Both outbreak studies also reported the benefit of the existing surveillance system. In the first outbreak,</w:t>
      </w:r>
      <w:r w:rsidR="006E215F">
        <w:rPr>
          <w:vertAlign w:val="superscript"/>
        </w:rPr>
        <w:t>31</w:t>
      </w:r>
      <w:r w:rsidR="001D608F">
        <w:rPr>
          <w:vertAlign w:val="superscript"/>
        </w:rPr>
        <w:t>7</w:t>
      </w:r>
      <w:r>
        <w:t xml:space="preserve"> which reported 1121 cases across the entire country and lasted for 31 days, the authors reported that syndromic s</w:t>
      </w:r>
      <w:r w:rsidRPr="00D144B9">
        <w:t xml:space="preserve">urveillance </w:t>
      </w:r>
      <w:r>
        <w:t xml:space="preserve">was </w:t>
      </w:r>
      <w:r w:rsidRPr="00D144B9">
        <w:t xml:space="preserve">beneficial </w:t>
      </w:r>
      <w:r>
        <w:t>because it</w:t>
      </w:r>
      <w:r w:rsidRPr="00D144B9">
        <w:t xml:space="preserve"> led to </w:t>
      </w:r>
      <w:r>
        <w:t xml:space="preserve">an </w:t>
      </w:r>
      <w:r w:rsidRPr="00D144B9">
        <w:t>early identification of an outbreak, triggered investigations</w:t>
      </w:r>
      <w:r>
        <w:t xml:space="preserve"> and</w:t>
      </w:r>
      <w:r w:rsidRPr="00D144B9">
        <w:t xml:space="preserve"> identified shellfish as the source</w:t>
      </w:r>
      <w:r>
        <w:t xml:space="preserve"> of transmission. This </w:t>
      </w:r>
      <w:r w:rsidR="00C870B1">
        <w:t>led</w:t>
      </w:r>
      <w:r>
        <w:t xml:space="preserve"> to the closures of implicated</w:t>
      </w:r>
      <w:r w:rsidRPr="00D144B9">
        <w:t xml:space="preserve"> harvesting sites</w:t>
      </w:r>
      <w:r>
        <w:t xml:space="preserve"> and the </w:t>
      </w:r>
      <w:r w:rsidRPr="00D144B9">
        <w:t xml:space="preserve">withdrawal of raw shellfish products </w:t>
      </w:r>
      <w:r>
        <w:t>from the market, which subsequently prevented the outbreak progression. The authors also reported that the early withdrawal of the shellfish prevented outbreaks occurring in other countries to which these products were exported. The last study</w:t>
      </w:r>
      <w:r w:rsidR="003B1825">
        <w:t>,</w:t>
      </w:r>
      <w:r>
        <w:rPr>
          <w:vertAlign w:val="superscript"/>
        </w:rPr>
        <w:t>4</w:t>
      </w:r>
      <w:r w:rsidR="006E215F">
        <w:rPr>
          <w:vertAlign w:val="superscript"/>
        </w:rPr>
        <w:t>8</w:t>
      </w:r>
      <w:r>
        <w:t xml:space="preserve"> which reported an outbreak in a military base involving 156 cases and lasting for 17 days, also attributed the existing </w:t>
      </w:r>
      <w:r>
        <w:lastRenderedPageBreak/>
        <w:t xml:space="preserve">surveillance to an early identification of the increase in gastrointestinal cases. Surveillance was based on an electronic database which recorded all healthcare consultations entered into the system and supported by additional information from the medical staff reporting potential outbreaks. The authors reported that the system was of benefit because it identified an outbreak on a second day and allowed them to introduce a bundle of control measures early. </w:t>
      </w:r>
    </w:p>
    <w:p w14:paraId="2F1CCAFE" w14:textId="2B8618AE" w:rsidR="00E87A11" w:rsidRDefault="00E87A11" w:rsidP="00CF7116">
      <w:pPr>
        <w:spacing w:before="240" w:line="276" w:lineRule="auto"/>
      </w:pPr>
      <w:r w:rsidRPr="0095272F">
        <w:t xml:space="preserve">There </w:t>
      </w:r>
      <w:r w:rsidR="003B1825" w:rsidRPr="003B1825">
        <w:t>was weak evidence</w:t>
      </w:r>
      <w:r w:rsidR="003B1825">
        <w:t xml:space="preserve"> of benefit </w:t>
      </w:r>
      <w:r>
        <w:t>from six outbreak studies,</w:t>
      </w:r>
      <w:r w:rsidR="006E215F" w:rsidRPr="006E215F">
        <w:rPr>
          <w:vertAlign w:val="superscript"/>
        </w:rPr>
        <w:t>14,22,28,36,37,112</w:t>
      </w:r>
      <w:r>
        <w:t xml:space="preserve"> which reported the effectiveness of initiating an active surveillance programme in response to recognised outbreak</w:t>
      </w:r>
      <w:r w:rsidR="003B1825">
        <w:t>s</w:t>
      </w:r>
      <w:r>
        <w:t xml:space="preserve"> in healthcare setting</w:t>
      </w:r>
      <w:r w:rsidR="003B1825">
        <w:t>s</w:t>
      </w:r>
      <w:r>
        <w:t xml:space="preserve"> in order to monitor progress and inform control measures. The studies reported outbreaks which affected from three to 173 individuals (median 21) and lasted for five to 54 days (median 13 days). The extent of the surveillance differe</w:t>
      </w:r>
      <w:r w:rsidR="003B1825">
        <w:t>d</w:t>
      </w:r>
      <w:r>
        <w:t xml:space="preserve"> across the studies but all studies reported that a daily active search for symptomatic cases was in place, two studies reported that contact tracing was also in place,</w:t>
      </w:r>
      <w:r w:rsidR="006E215F" w:rsidRPr="006E215F">
        <w:rPr>
          <w:vertAlign w:val="superscript"/>
        </w:rPr>
        <w:t>22,112</w:t>
      </w:r>
      <w:r>
        <w:t xml:space="preserve"> two reported that an IPC nurse visited the units daily to establish new cases and outbreak wards,</w:t>
      </w:r>
      <w:r w:rsidR="006E215F">
        <w:rPr>
          <w:vertAlign w:val="superscript"/>
        </w:rPr>
        <w:t>14,36</w:t>
      </w:r>
      <w:r>
        <w:t xml:space="preserve"> and one study reported that laboratory surveillance was also in place that included norovirus testing </w:t>
      </w:r>
      <w:r w:rsidR="003B1825">
        <w:t xml:space="preserve">of </w:t>
      </w:r>
      <w:r>
        <w:t xml:space="preserve">all faecal specimens submitted for </w:t>
      </w:r>
      <w:r w:rsidRPr="00672B82">
        <w:rPr>
          <w:i/>
          <w:iCs/>
        </w:rPr>
        <w:t>C</w:t>
      </w:r>
      <w:r w:rsidR="003B1825">
        <w:rPr>
          <w:i/>
          <w:iCs/>
        </w:rPr>
        <w:t>.</w:t>
      </w:r>
      <w:r w:rsidRPr="00672B82">
        <w:rPr>
          <w:i/>
          <w:iCs/>
        </w:rPr>
        <w:t xml:space="preserve"> difficile</w:t>
      </w:r>
      <w:r>
        <w:t xml:space="preserve"> testing with daily reports and automated one-hourly electronic reports which allowed the staff to identify cases promptly. All studies reported a benefit of initiating an active surveillance as a part of control measures. Based on four studies</w:t>
      </w:r>
      <w:r w:rsidR="006E215F" w:rsidRPr="006E215F">
        <w:rPr>
          <w:vertAlign w:val="superscript"/>
        </w:rPr>
        <w:t>22,28,36,37</w:t>
      </w:r>
      <w:r>
        <w:t xml:space="preserve"> which reported a number of cases after surveillance was introduced, a further one to ten (median </w:t>
      </w:r>
      <w:r w:rsidR="001128A6">
        <w:t>four</w:t>
      </w:r>
      <w:r>
        <w:t>) individuals became ill. The outbreaks lasted for a further three</w:t>
      </w:r>
      <w:r w:rsidR="006E215F">
        <w:rPr>
          <w:vertAlign w:val="superscript"/>
        </w:rPr>
        <w:t>22,36</w:t>
      </w:r>
      <w:r>
        <w:t xml:space="preserve"> to five days</w:t>
      </w:r>
      <w:r w:rsidR="006E215F">
        <w:rPr>
          <w:vertAlign w:val="superscript"/>
        </w:rPr>
        <w:t>28</w:t>
      </w:r>
      <w:r>
        <w:t xml:space="preserve"> although the last study</w:t>
      </w:r>
      <w:r w:rsidR="006E215F">
        <w:rPr>
          <w:vertAlign w:val="superscript"/>
        </w:rPr>
        <w:t>28</w:t>
      </w:r>
      <w:r>
        <w:t xml:space="preserve"> reported that the last case occurred one day after control measures, including surveillance, were introduced. </w:t>
      </w:r>
    </w:p>
    <w:p w14:paraId="7EA42EAA" w14:textId="79C0F794" w:rsidR="00E87A11" w:rsidRDefault="00E87A11" w:rsidP="00CF7116">
      <w:pPr>
        <w:spacing w:before="240" w:line="276" w:lineRule="auto"/>
      </w:pPr>
      <w:r w:rsidRPr="0095272F">
        <w:t xml:space="preserve">There </w:t>
      </w:r>
      <w:r w:rsidR="003B1825" w:rsidRPr="003B1825">
        <w:t>was weak evidence</w:t>
      </w:r>
      <w:r w:rsidR="003B1825">
        <w:t xml:space="preserve"> of benefit </w:t>
      </w:r>
      <w:r>
        <w:t>from one surveillance study</w:t>
      </w:r>
      <w:r w:rsidR="006E215F">
        <w:rPr>
          <w:vertAlign w:val="superscript"/>
        </w:rPr>
        <w:t>31</w:t>
      </w:r>
      <w:r w:rsidR="001D608F">
        <w:rPr>
          <w:vertAlign w:val="superscript"/>
        </w:rPr>
        <w:t>8</w:t>
      </w:r>
      <w:r>
        <w:t xml:space="preserve"> and six outbreak studies,</w:t>
      </w:r>
      <w:r w:rsidR="006E215F" w:rsidRPr="006E215F">
        <w:rPr>
          <w:vertAlign w:val="superscript"/>
        </w:rPr>
        <w:t>48,193,3</w:t>
      </w:r>
      <w:r w:rsidR="001D608F">
        <w:rPr>
          <w:vertAlign w:val="superscript"/>
        </w:rPr>
        <w:t>19</w:t>
      </w:r>
      <w:r w:rsidR="006E215F" w:rsidRPr="006E215F">
        <w:rPr>
          <w:vertAlign w:val="superscript"/>
        </w:rPr>
        <w:t>-32</w:t>
      </w:r>
      <w:r w:rsidR="001D608F">
        <w:rPr>
          <w:vertAlign w:val="superscript"/>
        </w:rPr>
        <w:t>2</w:t>
      </w:r>
      <w:r w:rsidR="006E215F" w:rsidRPr="006E215F">
        <w:rPr>
          <w:vertAlign w:val="superscript"/>
        </w:rPr>
        <w:t>/32</w:t>
      </w:r>
      <w:r w:rsidR="001D608F">
        <w:rPr>
          <w:vertAlign w:val="superscript"/>
        </w:rPr>
        <w:t>3</w:t>
      </w:r>
      <w:r w:rsidRPr="009C4F1E">
        <w:t xml:space="preserve"> </w:t>
      </w:r>
      <w:r>
        <w:t xml:space="preserve">which reported the effectiveness of initiating an active surveillance programme in response to a recognised outbreak outside </w:t>
      </w:r>
      <w:r w:rsidR="003B1825">
        <w:t>a</w:t>
      </w:r>
      <w:r>
        <w:t xml:space="preserve"> healthcare setting in order to either prevent its recurrence</w:t>
      </w:r>
      <w:r w:rsidR="006E215F">
        <w:rPr>
          <w:vertAlign w:val="superscript"/>
        </w:rPr>
        <w:t>319</w:t>
      </w:r>
      <w:r>
        <w:t xml:space="preserve"> or monitor its progress and inform control measures.</w:t>
      </w:r>
      <w:r w:rsidRPr="009C4F1E">
        <w:rPr>
          <w:vertAlign w:val="superscript"/>
        </w:rPr>
        <w:t>4,12-16/17</w:t>
      </w:r>
      <w:r>
        <w:t xml:space="preserve"> One study</w:t>
      </w:r>
      <w:r w:rsidR="006E215F">
        <w:rPr>
          <w:vertAlign w:val="superscript"/>
        </w:rPr>
        <w:t>31</w:t>
      </w:r>
      <w:r w:rsidR="001D608F">
        <w:rPr>
          <w:vertAlign w:val="superscript"/>
        </w:rPr>
        <w:t>8</w:t>
      </w:r>
      <w:r>
        <w:t xml:space="preserve"> reported that an outbreak occurred shortly before the Winter Olympics were due to start and even though the outbreak was resolved, the health authorities made a decision to actively search for possible cases among asymptomatic food handlers. Throughout the duration of the event, all food handlers working for catering companies supplying Olympic villages and gymnasiums were required to provide rectal samples for norovirus testing. The study reported that of 707 food handlers, five (0.7%) were found to be positive for norovirus and were subsequently excluded from work until negative test was obtained and all food handled by them was discarded. The authors concluded that this active surveillance was beneficial in preventing the outbreak re-occurring and that only four cases of norovirus occurred between athletes, which was substantially lower than the incidence reported in the previous Winter Olympics. The six outbreak studies,</w:t>
      </w:r>
      <w:r w:rsidRPr="0053462F">
        <w:rPr>
          <w:vertAlign w:val="superscript"/>
        </w:rPr>
        <w:t>4</w:t>
      </w:r>
      <w:r w:rsidR="006E215F">
        <w:rPr>
          <w:vertAlign w:val="superscript"/>
        </w:rPr>
        <w:t>8</w:t>
      </w:r>
      <w:r w:rsidR="001D608F">
        <w:rPr>
          <w:vertAlign w:val="superscript"/>
        </w:rPr>
        <w:t>,193,319-</w:t>
      </w:r>
      <w:r w:rsidR="006E215F">
        <w:rPr>
          <w:vertAlign w:val="superscript"/>
        </w:rPr>
        <w:t>32</w:t>
      </w:r>
      <w:r w:rsidR="001D608F">
        <w:rPr>
          <w:vertAlign w:val="superscript"/>
        </w:rPr>
        <w:t>2</w:t>
      </w:r>
      <w:r w:rsidR="006E215F">
        <w:rPr>
          <w:vertAlign w:val="superscript"/>
        </w:rPr>
        <w:t>/32</w:t>
      </w:r>
      <w:r w:rsidR="001D608F">
        <w:rPr>
          <w:vertAlign w:val="superscript"/>
        </w:rPr>
        <w:t>3</w:t>
      </w:r>
      <w:r>
        <w:t xml:space="preserve"> one of which was reported in two separate articles,</w:t>
      </w:r>
      <w:r w:rsidR="006E215F">
        <w:rPr>
          <w:vertAlign w:val="superscript"/>
        </w:rPr>
        <w:t>32</w:t>
      </w:r>
      <w:r w:rsidR="001D608F">
        <w:rPr>
          <w:vertAlign w:val="superscript"/>
        </w:rPr>
        <w:t>2</w:t>
      </w:r>
      <w:r w:rsidR="006E215F">
        <w:rPr>
          <w:vertAlign w:val="superscript"/>
        </w:rPr>
        <w:t>/32</w:t>
      </w:r>
      <w:r w:rsidR="001D608F">
        <w:rPr>
          <w:vertAlign w:val="superscript"/>
        </w:rPr>
        <w:t>3</w:t>
      </w:r>
      <w:r>
        <w:t xml:space="preserve"> occurred in different types of settings including </w:t>
      </w:r>
      <w:r w:rsidR="003B1825">
        <w:t xml:space="preserve">a </w:t>
      </w:r>
      <w:r>
        <w:t>military base,</w:t>
      </w:r>
      <w:r w:rsidRPr="0053462F">
        <w:rPr>
          <w:vertAlign w:val="superscript"/>
        </w:rPr>
        <w:t>4</w:t>
      </w:r>
      <w:r w:rsidR="006E215F">
        <w:rPr>
          <w:vertAlign w:val="superscript"/>
        </w:rPr>
        <w:t>8</w:t>
      </w:r>
      <w:r>
        <w:t xml:space="preserve"> evacuee shelters,</w:t>
      </w:r>
      <w:r w:rsidR="006E215F">
        <w:rPr>
          <w:vertAlign w:val="superscript"/>
        </w:rPr>
        <w:t>32</w:t>
      </w:r>
      <w:r w:rsidR="001D608F">
        <w:rPr>
          <w:vertAlign w:val="superscript"/>
        </w:rPr>
        <w:t>0</w:t>
      </w:r>
      <w:r w:rsidRPr="0053462F">
        <w:rPr>
          <w:vertAlign w:val="superscript"/>
        </w:rPr>
        <w:t>,</w:t>
      </w:r>
      <w:r w:rsidR="006E215F">
        <w:rPr>
          <w:vertAlign w:val="superscript"/>
        </w:rPr>
        <w:t>32</w:t>
      </w:r>
      <w:r w:rsidR="001D608F">
        <w:rPr>
          <w:vertAlign w:val="superscript"/>
        </w:rPr>
        <w:t>2</w:t>
      </w:r>
      <w:r w:rsidR="006E215F">
        <w:rPr>
          <w:vertAlign w:val="superscript"/>
        </w:rPr>
        <w:t>/32</w:t>
      </w:r>
      <w:r w:rsidR="001D608F">
        <w:rPr>
          <w:vertAlign w:val="superscript"/>
        </w:rPr>
        <w:t>3</w:t>
      </w:r>
      <w:r>
        <w:t xml:space="preserve"> schools,</w:t>
      </w:r>
      <w:r w:rsidR="006E215F">
        <w:rPr>
          <w:vertAlign w:val="superscript"/>
        </w:rPr>
        <w:t>32</w:t>
      </w:r>
      <w:r w:rsidR="001D608F">
        <w:rPr>
          <w:vertAlign w:val="superscript"/>
        </w:rPr>
        <w:t>1</w:t>
      </w:r>
      <w:r>
        <w:t xml:space="preserve"> and a wider community affecting an entire region,</w:t>
      </w:r>
      <w:r w:rsidRPr="0053462F">
        <w:rPr>
          <w:vertAlign w:val="superscript"/>
        </w:rPr>
        <w:t>1</w:t>
      </w:r>
      <w:r w:rsidR="006E215F">
        <w:rPr>
          <w:vertAlign w:val="superscript"/>
        </w:rPr>
        <w:t>93,3</w:t>
      </w:r>
      <w:r w:rsidR="001D608F">
        <w:rPr>
          <w:vertAlign w:val="superscript"/>
        </w:rPr>
        <w:t>19</w:t>
      </w:r>
      <w:r>
        <w:t xml:space="preserve"> and affected a large number of cases from 79 to over 1000 (median 230), lasting from ten days to over three months (median 16 days). The studies reported using different approaches to survey the outbreaks, which suited different types of setting and circumstances in which the outbreaks occurred: one study reported that a daily surveillance of food handlers was in place,</w:t>
      </w:r>
      <w:r w:rsidRPr="0053462F">
        <w:rPr>
          <w:vertAlign w:val="superscript"/>
        </w:rPr>
        <w:t>4</w:t>
      </w:r>
      <w:r w:rsidR="006E215F">
        <w:rPr>
          <w:vertAlign w:val="superscript"/>
        </w:rPr>
        <w:t>8</w:t>
      </w:r>
      <w:r>
        <w:t xml:space="preserve"> two studies reported setting up an enhanced reporting system where cases could report their symptoms to the health authorities</w:t>
      </w:r>
      <w:r w:rsidR="006E215F">
        <w:rPr>
          <w:vertAlign w:val="superscript"/>
        </w:rPr>
        <w:t>193,3</w:t>
      </w:r>
      <w:r w:rsidR="001D608F">
        <w:rPr>
          <w:vertAlign w:val="superscript"/>
        </w:rPr>
        <w:t>19</w:t>
      </w:r>
      <w:r>
        <w:t xml:space="preserve"> with one also actively searching for cases which presented to local emergency departments,</w:t>
      </w:r>
      <w:r w:rsidR="006E215F">
        <w:rPr>
          <w:vertAlign w:val="superscript"/>
        </w:rPr>
        <w:t>3</w:t>
      </w:r>
      <w:r w:rsidR="001D608F">
        <w:rPr>
          <w:vertAlign w:val="superscript"/>
        </w:rPr>
        <w:t>19</w:t>
      </w:r>
      <w:r>
        <w:t xml:space="preserve"> active search of any undiagnosed cases,</w:t>
      </w:r>
      <w:r w:rsidR="006E215F">
        <w:rPr>
          <w:vertAlign w:val="superscript"/>
        </w:rPr>
        <w:t>32</w:t>
      </w:r>
      <w:r w:rsidR="001D608F">
        <w:rPr>
          <w:vertAlign w:val="superscript"/>
        </w:rPr>
        <w:t>1</w:t>
      </w:r>
      <w:r>
        <w:t xml:space="preserve"> collecting data on gastrointestinal </w:t>
      </w:r>
      <w:r>
        <w:lastRenderedPageBreak/>
        <w:t>symptoms from anyone who entered the evacuee shelters</w:t>
      </w:r>
      <w:r w:rsidR="006E215F">
        <w:rPr>
          <w:vertAlign w:val="superscript"/>
        </w:rPr>
        <w:t>32</w:t>
      </w:r>
      <w:r w:rsidR="001D608F">
        <w:rPr>
          <w:vertAlign w:val="superscript"/>
        </w:rPr>
        <w:t>0</w:t>
      </w:r>
      <w:r>
        <w:t xml:space="preserve"> and collecting data on gastrointestinal symptoms from anyone who presented at the shelter clinic. Of these six outbreaks studies, five</w:t>
      </w:r>
      <w:r w:rsidRPr="0053462F">
        <w:rPr>
          <w:vertAlign w:val="superscript"/>
        </w:rPr>
        <w:t>4</w:t>
      </w:r>
      <w:r w:rsidR="006E215F">
        <w:rPr>
          <w:vertAlign w:val="superscript"/>
        </w:rPr>
        <w:t>8</w:t>
      </w:r>
      <w:r w:rsidRPr="0053462F">
        <w:rPr>
          <w:vertAlign w:val="superscript"/>
        </w:rPr>
        <w:t>,1</w:t>
      </w:r>
      <w:r w:rsidR="006E215F">
        <w:rPr>
          <w:vertAlign w:val="superscript"/>
        </w:rPr>
        <w:t>93,3</w:t>
      </w:r>
      <w:r w:rsidR="001D608F">
        <w:rPr>
          <w:vertAlign w:val="superscript"/>
        </w:rPr>
        <w:t>19</w:t>
      </w:r>
      <w:r w:rsidR="006E215F">
        <w:rPr>
          <w:vertAlign w:val="superscript"/>
        </w:rPr>
        <w:t>-32</w:t>
      </w:r>
      <w:r w:rsidR="001D608F">
        <w:rPr>
          <w:vertAlign w:val="superscript"/>
        </w:rPr>
        <w:t>1</w:t>
      </w:r>
      <w:r>
        <w:t xml:space="preserve"> reported a benefit of introducing surveillance to monitor the outbreak. One study reported that the surveillance identified that the initial control measures were not sufficient and prompted an introduction of additional interventions.</w:t>
      </w:r>
      <w:r w:rsidRPr="0053462F">
        <w:rPr>
          <w:vertAlign w:val="superscript"/>
        </w:rPr>
        <w:t>4</w:t>
      </w:r>
      <w:r w:rsidR="006E215F">
        <w:rPr>
          <w:vertAlign w:val="superscript"/>
        </w:rPr>
        <w:t>8</w:t>
      </w:r>
      <w:r>
        <w:t xml:space="preserve"> Three studies</w:t>
      </w:r>
      <w:r w:rsidRPr="0053462F">
        <w:rPr>
          <w:vertAlign w:val="superscript"/>
        </w:rPr>
        <w:t>1</w:t>
      </w:r>
      <w:r w:rsidR="006E215F">
        <w:rPr>
          <w:vertAlign w:val="superscript"/>
        </w:rPr>
        <w:t>93,3</w:t>
      </w:r>
      <w:r w:rsidR="001D608F">
        <w:rPr>
          <w:vertAlign w:val="superscript"/>
        </w:rPr>
        <w:t>19</w:t>
      </w:r>
      <w:r w:rsidR="006E215F">
        <w:rPr>
          <w:vertAlign w:val="superscript"/>
        </w:rPr>
        <w:t>,32</w:t>
      </w:r>
      <w:r w:rsidR="001D608F">
        <w:rPr>
          <w:vertAlign w:val="superscript"/>
        </w:rPr>
        <w:t>1</w:t>
      </w:r>
      <w:r>
        <w:t xml:space="preserve"> reported that surveillance allowed the identification of the source of an outbreak which subsequently led to restrictions to remove the source. One further study</w:t>
      </w:r>
      <w:r w:rsidR="006E215F">
        <w:rPr>
          <w:vertAlign w:val="superscript"/>
        </w:rPr>
        <w:t>32</w:t>
      </w:r>
      <w:r w:rsidR="001D608F">
        <w:rPr>
          <w:vertAlign w:val="superscript"/>
        </w:rPr>
        <w:t>0</w:t>
      </w:r>
      <w:r>
        <w:t xml:space="preserve"> reported that the surveillance allowed the cases to be promptly isolated from others which slowed down and eventually terminated an outbreak. The study which did not report a benefit of surveillance (anyone who presented to the shelter clinic),</w:t>
      </w:r>
      <w:r w:rsidR="006E215F">
        <w:rPr>
          <w:vertAlign w:val="superscript"/>
        </w:rPr>
        <w:t>32</w:t>
      </w:r>
      <w:r w:rsidR="001D608F">
        <w:rPr>
          <w:vertAlign w:val="superscript"/>
        </w:rPr>
        <w:t>2/</w:t>
      </w:r>
      <w:r w:rsidR="006E215F">
        <w:rPr>
          <w:vertAlign w:val="superscript"/>
        </w:rPr>
        <w:t>32</w:t>
      </w:r>
      <w:r w:rsidR="001D608F">
        <w:rPr>
          <w:vertAlign w:val="superscript"/>
        </w:rPr>
        <w:t>3</w:t>
      </w:r>
      <w:r>
        <w:t xml:space="preserve"> also acknowledged that the type of surveillance might have been insufficient to identify some cases of norovirus, but they also mentioned that this was the only type of surveillance that was possible in the circumstances as it was not possible to control who entered and left the shelter</w:t>
      </w:r>
      <w:r w:rsidR="003B1825">
        <w:t>,</w:t>
      </w:r>
      <w:r>
        <w:t xml:space="preserve"> which included indoor and outdoor areas facilities. The study also reported that control measures were introduced almost daily but they did not seem to have an effect on outbreak progression and that cases continued to occur until the shelter was closed. The authors also noted that the outbreak was due to at least three distinct norovirus strains which suggest multiple introductions within the facility. </w:t>
      </w:r>
    </w:p>
    <w:p w14:paraId="219029B1" w14:textId="2B1CECB3" w:rsidR="00E87A11" w:rsidRDefault="00E87A11" w:rsidP="00CF7116">
      <w:pPr>
        <w:spacing w:before="240" w:line="276" w:lineRule="auto"/>
        <w:rPr>
          <w:rFonts w:cstheme="minorHAnsi"/>
        </w:rPr>
      </w:pPr>
      <w:r w:rsidRPr="002404F9">
        <w:rPr>
          <w:rFonts w:cstheme="minorHAnsi"/>
        </w:rPr>
        <w:t xml:space="preserve">No studies were found in the existing </w:t>
      </w:r>
      <w:r w:rsidR="00FE349B">
        <w:rPr>
          <w:rFonts w:cstheme="minorHAnsi"/>
        </w:rPr>
        <w:t>literature that</w:t>
      </w:r>
      <w:r w:rsidRPr="002404F9">
        <w:rPr>
          <w:rFonts w:cstheme="minorHAnsi"/>
        </w:rPr>
        <w:t xml:space="preserve"> assessed the </w:t>
      </w:r>
      <w:r>
        <w:rPr>
          <w:rFonts w:cstheme="minorHAnsi"/>
        </w:rPr>
        <w:t>cost of any type of surveillance in any type of setting</w:t>
      </w:r>
      <w:r w:rsidRPr="002404F9">
        <w:rPr>
          <w:rFonts w:cstheme="minorHAnsi"/>
        </w:rPr>
        <w:t>.</w:t>
      </w:r>
      <w:r>
        <w:rPr>
          <w:rFonts w:cstheme="minorHAnsi"/>
        </w:rPr>
        <w:t xml:space="preserve"> </w:t>
      </w:r>
    </w:p>
    <w:p w14:paraId="0FB15E74" w14:textId="35817945" w:rsidR="003B1825" w:rsidRPr="003B1825" w:rsidRDefault="003B1825" w:rsidP="00CF7116">
      <w:pPr>
        <w:spacing w:before="240" w:line="276" w:lineRule="auto"/>
        <w:rPr>
          <w:rFonts w:cstheme="minorHAnsi"/>
          <w:i/>
          <w:iCs/>
        </w:rPr>
      </w:pPr>
      <w:r w:rsidRPr="003B1825">
        <w:rPr>
          <w:rFonts w:cstheme="minorHAnsi"/>
          <w:i/>
          <w:iCs/>
        </w:rPr>
        <w:t>The</w:t>
      </w:r>
      <w:r w:rsidR="00CF7116">
        <w:rPr>
          <w:rFonts w:cstheme="minorHAnsi"/>
          <w:i/>
          <w:iCs/>
        </w:rPr>
        <w:t xml:space="preserve"> Working Party agreed that even though the </w:t>
      </w:r>
      <w:r w:rsidRPr="003B1825">
        <w:rPr>
          <w:rFonts w:cstheme="minorHAnsi"/>
          <w:i/>
          <w:iCs/>
        </w:rPr>
        <w:t xml:space="preserve">evidence </w:t>
      </w:r>
      <w:r w:rsidR="00CF7116">
        <w:rPr>
          <w:rFonts w:cstheme="minorHAnsi"/>
          <w:i/>
          <w:iCs/>
        </w:rPr>
        <w:t xml:space="preserve">was weak, it demonstrates </w:t>
      </w:r>
      <w:r w:rsidR="00364DC7">
        <w:rPr>
          <w:rFonts w:cstheme="minorHAnsi"/>
          <w:i/>
          <w:iCs/>
        </w:rPr>
        <w:t>the</w:t>
      </w:r>
      <w:r w:rsidR="00CF7116">
        <w:rPr>
          <w:rFonts w:cstheme="minorHAnsi"/>
          <w:i/>
          <w:iCs/>
        </w:rPr>
        <w:t xml:space="preserve"> </w:t>
      </w:r>
      <w:r w:rsidRPr="003B1825">
        <w:rPr>
          <w:rFonts w:cstheme="minorHAnsi"/>
          <w:i/>
          <w:iCs/>
        </w:rPr>
        <w:t xml:space="preserve">benefit of surveillance both before and during </w:t>
      </w:r>
      <w:r w:rsidR="00CF7116">
        <w:rPr>
          <w:rFonts w:cstheme="minorHAnsi"/>
          <w:i/>
          <w:iCs/>
        </w:rPr>
        <w:t xml:space="preserve">norovirus </w:t>
      </w:r>
      <w:r w:rsidRPr="003B1825">
        <w:rPr>
          <w:rFonts w:cstheme="minorHAnsi"/>
          <w:i/>
          <w:iCs/>
        </w:rPr>
        <w:t>outbreaks</w:t>
      </w:r>
      <w:r w:rsidR="00CF7116">
        <w:rPr>
          <w:rFonts w:cstheme="minorHAnsi"/>
          <w:i/>
          <w:iCs/>
        </w:rPr>
        <w:t xml:space="preserve">. However, both types of surveillance </w:t>
      </w:r>
      <w:r w:rsidRPr="003B1825">
        <w:rPr>
          <w:rFonts w:cstheme="minorHAnsi"/>
          <w:i/>
          <w:iCs/>
        </w:rPr>
        <w:t>require additional resources</w:t>
      </w:r>
      <w:r w:rsidR="00CF7116">
        <w:rPr>
          <w:rFonts w:cstheme="minorHAnsi"/>
          <w:i/>
          <w:iCs/>
        </w:rPr>
        <w:t xml:space="preserve"> which may not always be available. Therefore, the Working Party recommends that as a minimum, surveillance is undertaken during norovirus outbreaks. </w:t>
      </w:r>
    </w:p>
    <w:p w14:paraId="329C206D" w14:textId="0692F07A" w:rsidR="00E87A11" w:rsidRPr="00902BD2" w:rsidRDefault="00E87A11" w:rsidP="00CF7116">
      <w:pPr>
        <w:spacing w:line="276" w:lineRule="auto"/>
        <w:rPr>
          <w:b/>
          <w:bCs/>
        </w:rPr>
      </w:pPr>
      <w:r w:rsidRPr="00902BD2">
        <w:rPr>
          <w:b/>
          <w:bCs/>
        </w:rPr>
        <w:t>Recommendations:</w:t>
      </w:r>
    </w:p>
    <w:p w14:paraId="4E203C34" w14:textId="600A8AC6" w:rsidR="003B1825" w:rsidRPr="003B1825" w:rsidRDefault="00CF7116" w:rsidP="00CF7116">
      <w:pPr>
        <w:spacing w:line="276" w:lineRule="auto"/>
      </w:pPr>
      <w:r w:rsidRPr="00CF7116">
        <w:rPr>
          <w:b/>
          <w:bCs/>
        </w:rPr>
        <w:t>29.1:</w:t>
      </w:r>
      <w:r>
        <w:t xml:space="preserve"> Introduce</w:t>
      </w:r>
      <w:r w:rsidR="003B1825" w:rsidRPr="003B1825">
        <w:t xml:space="preserve"> surveillance for symptoms/cases during an outbreak of </w:t>
      </w:r>
      <w:r>
        <w:t>norovirus</w:t>
      </w:r>
      <w:r w:rsidR="003B1825" w:rsidRPr="003B1825">
        <w:t xml:space="preserve"> infection.</w:t>
      </w:r>
    </w:p>
    <w:p w14:paraId="28A7BBB7" w14:textId="77777777" w:rsidR="00E87A11" w:rsidRPr="00902BD2" w:rsidRDefault="00E87A11" w:rsidP="00CF7116">
      <w:pPr>
        <w:spacing w:line="276" w:lineRule="auto"/>
        <w:rPr>
          <w:b/>
          <w:bCs/>
        </w:rPr>
      </w:pPr>
      <w:r w:rsidRPr="00902BD2">
        <w:rPr>
          <w:b/>
          <w:bCs/>
        </w:rPr>
        <w:t>Good practice points:</w:t>
      </w:r>
    </w:p>
    <w:p w14:paraId="3E36CB07" w14:textId="6CD24C65" w:rsidR="003B1825" w:rsidRDefault="00CF7116" w:rsidP="00CF7116">
      <w:pPr>
        <w:spacing w:before="240" w:line="276" w:lineRule="auto"/>
      </w:pPr>
      <w:r w:rsidRPr="00CF7116">
        <w:rPr>
          <w:b/>
          <w:bCs/>
        </w:rPr>
        <w:t>GPP 29.1:</w:t>
      </w:r>
      <w:r>
        <w:t xml:space="preserve"> </w:t>
      </w:r>
      <w:r w:rsidR="003B1825">
        <w:t xml:space="preserve">If initiating surveillance for </w:t>
      </w:r>
      <w:r>
        <w:t>norovirus</w:t>
      </w:r>
      <w:r w:rsidR="003B1825">
        <w:t xml:space="preserve"> is considered outside outbreaks, </w:t>
      </w:r>
      <w:r>
        <w:t xml:space="preserve">ensure </w:t>
      </w:r>
      <w:r w:rsidR="005D7997">
        <w:t xml:space="preserve">that </w:t>
      </w:r>
      <w:r>
        <w:t xml:space="preserve">appropriate </w:t>
      </w:r>
      <w:r w:rsidR="003B1825">
        <w:t xml:space="preserve">resources </w:t>
      </w:r>
      <w:r>
        <w:t>are available to</w:t>
      </w:r>
      <w:r w:rsidR="003B1825">
        <w:t xml:space="preserve"> put in place.</w:t>
      </w:r>
    </w:p>
    <w:p w14:paraId="45D931F3" w14:textId="6114AF9B" w:rsidR="00E87A11" w:rsidRPr="001D3CED" w:rsidRDefault="00CF7116" w:rsidP="00CF7116">
      <w:pPr>
        <w:spacing w:before="240" w:line="276" w:lineRule="auto"/>
      </w:pPr>
      <w:r w:rsidRPr="00CF7116">
        <w:rPr>
          <w:b/>
          <w:bCs/>
        </w:rPr>
        <w:t>GPP 29.2:</w:t>
      </w:r>
      <w:r>
        <w:t xml:space="preserve"> </w:t>
      </w:r>
      <w:r w:rsidR="003B1825">
        <w:t xml:space="preserve">Participate in national surveillance programmes for </w:t>
      </w:r>
      <w:r>
        <w:t>norovirus</w:t>
      </w:r>
      <w:r w:rsidR="003B1825">
        <w:t xml:space="preserve"> outbreaks</w:t>
      </w:r>
      <w:r w:rsidR="006C356B">
        <w:t>.</w:t>
      </w:r>
    </w:p>
    <w:p w14:paraId="52D52A57" w14:textId="56C63C5F" w:rsidR="0023406F" w:rsidRPr="00A643A9" w:rsidRDefault="0023406F" w:rsidP="00CF7116">
      <w:pPr>
        <w:spacing w:before="240" w:line="276" w:lineRule="auto"/>
        <w:rPr>
          <w:rFonts w:ascii="Calibri" w:hAnsi="Calibri"/>
          <w:color w:val="000000" w:themeColor="text1"/>
          <w:u w:val="single"/>
        </w:rPr>
      </w:pPr>
    </w:p>
    <w:p w14:paraId="5880FDE1" w14:textId="7BE47D2B" w:rsidR="0023406F" w:rsidRDefault="0023406F" w:rsidP="00CF7116">
      <w:pPr>
        <w:pStyle w:val="Heading1"/>
        <w:numPr>
          <w:ilvl w:val="0"/>
          <w:numId w:val="27"/>
        </w:numPr>
        <w:spacing w:after="160" w:line="276" w:lineRule="auto"/>
      </w:pPr>
      <w:r>
        <w:t>Overarching recommendations</w:t>
      </w:r>
    </w:p>
    <w:p w14:paraId="07A2DE80" w14:textId="278400F4" w:rsidR="00E758C0" w:rsidRPr="00A643A9" w:rsidRDefault="00A643A9" w:rsidP="00A643A9">
      <w:pPr>
        <w:spacing w:before="240" w:line="276" w:lineRule="auto"/>
        <w:rPr>
          <w:i/>
          <w:iCs/>
        </w:rPr>
      </w:pPr>
      <w:r w:rsidRPr="00A643A9">
        <w:rPr>
          <w:i/>
          <w:iCs/>
        </w:rPr>
        <w:t xml:space="preserve">During the review of the existing evidence, it has become apparent that there are some overarching themes that underpin the good IPC practice for preventing and controlling norovirus outbreaks. The Working Party agreed that the quality of the evidence for or against some of the control measures is either low or is inconsistent and that one of the themes that emerged was a variation between institutions. Therefore, the Working Party agreed that during norovirus outbreaks, the affected institutions should undertake continuous risk assessment and choose good practice points which are </w:t>
      </w:r>
      <w:r w:rsidRPr="00A643A9">
        <w:rPr>
          <w:i/>
          <w:iCs/>
        </w:rPr>
        <w:lastRenderedPageBreak/>
        <w:t>suited to their context and do not compromise the quality of care. For example, the good practice point which recommends the removal of exposed foods may not be suitable for settings where the individuals are also at risk of undernutrition or dehydration. Another theme that emerged is the ability of the staff to recognise the outbreak early and act on this knowledge as soon as possible. To be able to so, the staff need to be provided with adequate information about the nature of the virus</w:t>
      </w:r>
      <w:r>
        <w:rPr>
          <w:i/>
          <w:iCs/>
        </w:rPr>
        <w:t>, possible routes of transmission</w:t>
      </w:r>
      <w:r w:rsidRPr="00A643A9">
        <w:rPr>
          <w:i/>
          <w:iCs/>
        </w:rPr>
        <w:t xml:space="preserve"> and </w:t>
      </w:r>
      <w:r>
        <w:rPr>
          <w:i/>
          <w:iCs/>
        </w:rPr>
        <w:t>the</w:t>
      </w:r>
      <w:r w:rsidRPr="00A643A9">
        <w:rPr>
          <w:i/>
          <w:iCs/>
        </w:rPr>
        <w:t xml:space="preserve"> control measures that could be introduced quickly. </w:t>
      </w:r>
    </w:p>
    <w:p w14:paraId="5B6D2ABC" w14:textId="4F86F2E4" w:rsidR="00A643A9" w:rsidRPr="00556D11" w:rsidRDefault="00A643A9" w:rsidP="00A643A9">
      <w:pPr>
        <w:spacing w:before="240" w:line="276" w:lineRule="auto"/>
        <w:rPr>
          <w:b/>
          <w:bCs/>
        </w:rPr>
      </w:pPr>
      <w:r w:rsidRPr="00556D11">
        <w:rPr>
          <w:b/>
          <w:bCs/>
        </w:rPr>
        <w:t xml:space="preserve">OR 1: </w:t>
      </w:r>
      <w:r w:rsidRPr="00556D11">
        <w:t>During norovirus outbreaks, undertake continuous risk assessment to establish which good practice points need to be introduce</w:t>
      </w:r>
      <w:r w:rsidR="00556D11">
        <w:t>d</w:t>
      </w:r>
      <w:r w:rsidRPr="00556D11">
        <w:t xml:space="preserve"> to minimise transmission.</w:t>
      </w:r>
      <w:r w:rsidRPr="00556D11">
        <w:rPr>
          <w:b/>
          <w:bCs/>
        </w:rPr>
        <w:t xml:space="preserve"> </w:t>
      </w:r>
    </w:p>
    <w:p w14:paraId="44DBE4A4" w14:textId="797338C5" w:rsidR="00A643A9" w:rsidRPr="00A643A9" w:rsidRDefault="00A643A9" w:rsidP="00A643A9">
      <w:pPr>
        <w:spacing w:before="240" w:line="276" w:lineRule="auto"/>
        <w:rPr>
          <w:b/>
          <w:bCs/>
        </w:rPr>
      </w:pPr>
      <w:r w:rsidRPr="00556D11">
        <w:rPr>
          <w:b/>
          <w:bCs/>
        </w:rPr>
        <w:t xml:space="preserve">OR 2: </w:t>
      </w:r>
      <w:r w:rsidRPr="00556D11">
        <w:t>Provide staff with sufficient information and training so that they are able to recognise and quickly act when norovirus outbreak occurs.</w:t>
      </w:r>
      <w:r w:rsidRPr="00A643A9">
        <w:t xml:space="preserve"> </w:t>
      </w:r>
    </w:p>
    <w:p w14:paraId="0E06F084" w14:textId="3B45AFED" w:rsidR="0023406F" w:rsidRPr="00A643A9" w:rsidRDefault="0023406F" w:rsidP="00CF7116">
      <w:pPr>
        <w:spacing w:before="240" w:line="276" w:lineRule="auto"/>
        <w:rPr>
          <w:rFonts w:ascii="Calibri" w:hAnsi="Calibri"/>
          <w:color w:val="000000" w:themeColor="text1"/>
          <w:u w:val="single"/>
        </w:rPr>
      </w:pPr>
    </w:p>
    <w:p w14:paraId="34AB2DAF" w14:textId="130E8827" w:rsidR="0023406F" w:rsidRDefault="0023406F" w:rsidP="00CF7116">
      <w:pPr>
        <w:pStyle w:val="Heading1"/>
        <w:numPr>
          <w:ilvl w:val="0"/>
          <w:numId w:val="27"/>
        </w:numPr>
        <w:spacing w:after="160" w:line="276" w:lineRule="auto"/>
      </w:pPr>
      <w:r>
        <w:t>Further research</w:t>
      </w:r>
    </w:p>
    <w:p w14:paraId="702FBF61" w14:textId="12CC940B" w:rsidR="005605CD" w:rsidRDefault="005605CD" w:rsidP="005605CD">
      <w:pPr>
        <w:spacing w:before="240" w:line="276" w:lineRule="auto"/>
      </w:pPr>
      <w:r w:rsidRPr="00A93D8D">
        <w:rPr>
          <w:b/>
          <w:bCs/>
        </w:rPr>
        <w:t>RR</w:t>
      </w:r>
      <w:r>
        <w:rPr>
          <w:b/>
          <w:bCs/>
        </w:rPr>
        <w:t xml:space="preserve"> 1.</w:t>
      </w:r>
      <w:r w:rsidRPr="00A93D8D">
        <w:rPr>
          <w:b/>
          <w:bCs/>
        </w:rPr>
        <w:t>1:</w:t>
      </w:r>
      <w:r>
        <w:t xml:space="preserve"> Assess the role of flexible designs in the context of norovirus outbreak prevention and control. </w:t>
      </w:r>
    </w:p>
    <w:p w14:paraId="6CA74882" w14:textId="4BCBD166" w:rsidR="005605CD" w:rsidRDefault="005605CD" w:rsidP="005605CD">
      <w:pPr>
        <w:spacing w:before="240" w:line="276" w:lineRule="auto"/>
      </w:pPr>
      <w:r w:rsidRPr="005605CD">
        <w:rPr>
          <w:b/>
          <w:bCs/>
        </w:rPr>
        <w:t>RR 9.1:</w:t>
      </w:r>
      <w:r>
        <w:t xml:space="preserve"> Studies that explore the clinical and cost-effectiveness of different diagnostic methodologies to identify norovirus positive patients. </w:t>
      </w:r>
    </w:p>
    <w:p w14:paraId="4D582B8F" w14:textId="121E8DDC" w:rsidR="005605CD" w:rsidRDefault="005605CD" w:rsidP="005605CD">
      <w:pPr>
        <w:spacing w:before="240" w:line="276" w:lineRule="auto"/>
      </w:pPr>
      <w:r w:rsidRPr="005605CD">
        <w:rPr>
          <w:b/>
          <w:bCs/>
        </w:rPr>
        <w:t>RR 9.2:</w:t>
      </w:r>
      <w:r>
        <w:t xml:space="preserve"> Studies that explore turn-around time for PCR, point-of-care and other assays and its effect on prompt management of norovirus cases.</w:t>
      </w:r>
    </w:p>
    <w:p w14:paraId="5A370633" w14:textId="7C4F97CD" w:rsidR="005605CD" w:rsidRDefault="005605CD" w:rsidP="005605CD">
      <w:pPr>
        <w:spacing w:before="240" w:line="276" w:lineRule="auto"/>
      </w:pPr>
      <w:r w:rsidRPr="009C1D5A">
        <w:rPr>
          <w:b/>
          <w:bCs/>
        </w:rPr>
        <w:t>RR</w:t>
      </w:r>
      <w:r>
        <w:rPr>
          <w:b/>
          <w:bCs/>
        </w:rPr>
        <w:t xml:space="preserve"> </w:t>
      </w:r>
      <w:r w:rsidRPr="009C1D5A">
        <w:rPr>
          <w:b/>
          <w:bCs/>
        </w:rPr>
        <w:t>10.1:</w:t>
      </w:r>
      <w:r>
        <w:t xml:space="preserve"> Studies which evaluate the clinical and cost-effectiveness of alternative storage/transport systems for specimens intended for norovirus testing. </w:t>
      </w:r>
    </w:p>
    <w:p w14:paraId="11C0F10B" w14:textId="31EBF8C1" w:rsidR="005605CD" w:rsidRDefault="005605CD" w:rsidP="005605CD">
      <w:pPr>
        <w:spacing w:before="240" w:line="276" w:lineRule="auto"/>
      </w:pPr>
      <w:r w:rsidRPr="00953810">
        <w:rPr>
          <w:b/>
          <w:bCs/>
        </w:rPr>
        <w:t>RR 14.1:</w:t>
      </w:r>
      <w:r>
        <w:t xml:space="preserve"> </w:t>
      </w:r>
      <w:r w:rsidRPr="004B70A3">
        <w:t>Assess whether removing alcohol hand rub encourages hand hygiene with soap and water during norovirus outbreaks.</w:t>
      </w:r>
    </w:p>
    <w:p w14:paraId="73B736D8" w14:textId="77777777" w:rsidR="005605CD" w:rsidRDefault="005605CD" w:rsidP="005605CD">
      <w:pPr>
        <w:spacing w:before="240" w:line="276" w:lineRule="auto"/>
      </w:pPr>
      <w:r w:rsidRPr="004517C9">
        <w:rPr>
          <w:b/>
          <w:bCs/>
        </w:rPr>
        <w:t>RR 16.1:</w:t>
      </w:r>
      <w:r>
        <w:t xml:space="preserve"> </w:t>
      </w:r>
      <w:r w:rsidRPr="007E12C1">
        <w:t xml:space="preserve">Investigate </w:t>
      </w:r>
      <w:r>
        <w:t xml:space="preserve">the </w:t>
      </w:r>
      <w:r w:rsidRPr="007E12C1">
        <w:t>effectiveness of structured environmental surveillance for norovirus in outbreak situations.</w:t>
      </w:r>
      <w:r>
        <w:t xml:space="preserve"> </w:t>
      </w:r>
    </w:p>
    <w:p w14:paraId="1DDFE926" w14:textId="77777777" w:rsidR="005605CD" w:rsidRPr="00DC6740" w:rsidRDefault="005605CD" w:rsidP="005605CD">
      <w:pPr>
        <w:spacing w:before="240" w:line="276" w:lineRule="auto"/>
      </w:pPr>
      <w:r w:rsidRPr="00D616E0">
        <w:rPr>
          <w:b/>
          <w:bCs/>
        </w:rPr>
        <w:t>RR 17.1</w:t>
      </w:r>
      <w:r>
        <w:rPr>
          <w:b/>
          <w:bCs/>
        </w:rPr>
        <w:t>:</w:t>
      </w:r>
      <w:r w:rsidRPr="00D616E0">
        <w:t xml:space="preserve"> Studies that develop a robust culture method which would enable better</w:t>
      </w:r>
      <w:r>
        <w:t>-</w:t>
      </w:r>
      <w:r w:rsidRPr="00D616E0">
        <w:t xml:space="preserve">quality research </w:t>
      </w:r>
      <w:r>
        <w:t xml:space="preserve">of norovirus </w:t>
      </w:r>
      <w:r w:rsidRPr="00D616E0">
        <w:t xml:space="preserve">in laboratory settings. </w:t>
      </w:r>
    </w:p>
    <w:p w14:paraId="5AEC909E" w14:textId="77777777" w:rsidR="005605CD" w:rsidRDefault="005605CD" w:rsidP="005605CD">
      <w:pPr>
        <w:spacing w:before="240" w:line="276" w:lineRule="auto"/>
      </w:pPr>
      <w:r w:rsidRPr="00F31E76">
        <w:rPr>
          <w:b/>
          <w:bCs/>
        </w:rPr>
        <w:t>RR 27.1:</w:t>
      </w:r>
      <w:r>
        <w:t xml:space="preserve"> Well-conducted</w:t>
      </w:r>
      <w:r w:rsidRPr="00DB6D05">
        <w:t xml:space="preserve"> studies </w:t>
      </w:r>
      <w:r>
        <w:t>which assess the effectiveness of different medications</w:t>
      </w:r>
      <w:r w:rsidRPr="00DB6D05">
        <w:t xml:space="preserve"> </w:t>
      </w:r>
      <w:r>
        <w:t xml:space="preserve">which </w:t>
      </w:r>
      <w:r w:rsidRPr="00DB6D05">
        <w:t xml:space="preserve">show a potential benefit for </w:t>
      </w:r>
      <w:r>
        <w:t xml:space="preserve">relief of norovirus infection symptoms. </w:t>
      </w:r>
    </w:p>
    <w:p w14:paraId="19A8B5DC" w14:textId="77777777" w:rsidR="005605CD" w:rsidRDefault="005605CD" w:rsidP="005605CD">
      <w:pPr>
        <w:spacing w:before="240" w:line="276" w:lineRule="auto"/>
      </w:pPr>
      <w:r w:rsidRPr="00F31E76">
        <w:rPr>
          <w:b/>
          <w:bCs/>
        </w:rPr>
        <w:t>RR 28.1:</w:t>
      </w:r>
      <w:r>
        <w:t xml:space="preserve"> More robust studies which investigate different types of therapy for immunocompromised patients with norovirus infection. </w:t>
      </w:r>
    </w:p>
    <w:p w14:paraId="798195CD" w14:textId="12B98F32" w:rsidR="005605CD" w:rsidRDefault="005605CD" w:rsidP="005605CD">
      <w:pPr>
        <w:spacing w:before="240" w:line="276" w:lineRule="auto"/>
        <w:rPr>
          <w:rFonts w:asciiTheme="majorHAnsi" w:eastAsiaTheme="majorEastAsia" w:hAnsiTheme="majorHAnsi" w:cstheme="majorBidi"/>
          <w:b/>
          <w:sz w:val="32"/>
          <w:szCs w:val="32"/>
        </w:rPr>
      </w:pPr>
      <w:r>
        <w:br w:type="page"/>
      </w:r>
    </w:p>
    <w:p w14:paraId="147F8B23" w14:textId="77777777" w:rsidR="005605CD" w:rsidRDefault="005605CD" w:rsidP="005605CD">
      <w:pPr>
        <w:spacing w:before="240" w:line="276" w:lineRule="auto"/>
      </w:pPr>
    </w:p>
    <w:p w14:paraId="096CE1D0" w14:textId="32671AB6" w:rsidR="00CF7116" w:rsidRDefault="0023406F" w:rsidP="00CF7116">
      <w:pPr>
        <w:pStyle w:val="Heading1"/>
        <w:spacing w:after="160" w:line="276" w:lineRule="auto"/>
        <w:ind w:left="567"/>
      </w:pPr>
      <w:r>
        <w:t>11.</w:t>
      </w:r>
      <w:r w:rsidR="004D288B">
        <w:t xml:space="preserve"> </w:t>
      </w:r>
      <w:r w:rsidR="00D91FFA" w:rsidRPr="00555B31">
        <w:t>References</w:t>
      </w:r>
    </w:p>
    <w:p w14:paraId="5AC4EF6C" w14:textId="77777777" w:rsidR="0037011B" w:rsidRDefault="0037011B" w:rsidP="0037011B">
      <w:pPr>
        <w:pStyle w:val="ListParagraph"/>
        <w:numPr>
          <w:ilvl w:val="0"/>
          <w:numId w:val="48"/>
        </w:numPr>
        <w:spacing w:before="240" w:after="160" w:line="276" w:lineRule="auto"/>
      </w:pPr>
      <w:r w:rsidRPr="0035132D">
        <w:rPr>
          <w:rFonts w:cstheme="minorHAnsi"/>
          <w:bCs/>
          <w:color w:val="000000" w:themeColor="text1"/>
        </w:rPr>
        <w:t xml:space="preserve">Norovirus Working Party. Guidelines for the management of norovirus outbreaks in acute and community health and social care settings. </w:t>
      </w:r>
      <w:r>
        <w:rPr>
          <w:rFonts w:cstheme="minorHAnsi"/>
          <w:bCs/>
          <w:color w:val="000000" w:themeColor="text1"/>
        </w:rPr>
        <w:t xml:space="preserve">2012. </w:t>
      </w:r>
      <w:r w:rsidRPr="0035132D">
        <w:rPr>
          <w:rFonts w:cstheme="minorHAnsi"/>
          <w:bCs/>
          <w:color w:val="000000" w:themeColor="text1"/>
        </w:rPr>
        <w:t>Available at:</w:t>
      </w:r>
      <w:r>
        <w:rPr>
          <w:rFonts w:cstheme="minorHAnsi"/>
          <w:bCs/>
          <w:color w:val="000000" w:themeColor="text1"/>
        </w:rPr>
        <w:t xml:space="preserve"> </w:t>
      </w:r>
      <w:hyperlink r:id="rId10" w:history="1">
        <w:r w:rsidRPr="00D54A16">
          <w:rPr>
            <w:rStyle w:val="Hyperlink"/>
            <w:rFonts w:cstheme="minorHAnsi"/>
            <w:bCs/>
          </w:rPr>
          <w:t>https://assets.publishing.service.gov.uk/government/uploads/system/uploads/attachment_data/file/322943/Guidance_for_managing_norovirus_outbreaks_in_healthcare_settings.pdf</w:t>
        </w:r>
      </w:hyperlink>
      <w:r>
        <w:rPr>
          <w:rFonts w:cstheme="minorHAnsi"/>
          <w:bCs/>
          <w:color w:val="000000" w:themeColor="text1"/>
        </w:rPr>
        <w:t xml:space="preserve"> </w:t>
      </w:r>
      <w:r w:rsidRPr="0035132D">
        <w:rPr>
          <w:rFonts w:cstheme="minorHAnsi"/>
          <w:bCs/>
          <w:color w:val="000000" w:themeColor="text1"/>
        </w:rPr>
        <w:t xml:space="preserve"> </w:t>
      </w:r>
      <w:r>
        <w:rPr>
          <w:rFonts w:cstheme="minorHAnsi"/>
          <w:bCs/>
        </w:rPr>
        <w:t>Last accessed: 24/07/22</w:t>
      </w:r>
    </w:p>
    <w:p w14:paraId="5021E417" w14:textId="77777777" w:rsidR="0037011B" w:rsidRDefault="0037011B" w:rsidP="0037011B">
      <w:pPr>
        <w:pStyle w:val="ListParagraph"/>
        <w:numPr>
          <w:ilvl w:val="0"/>
          <w:numId w:val="48"/>
        </w:numPr>
        <w:spacing w:after="200" w:line="276" w:lineRule="auto"/>
        <w:jc w:val="both"/>
        <w:rPr>
          <w:rFonts w:cstheme="minorHAnsi"/>
        </w:rPr>
      </w:pPr>
      <w:proofErr w:type="spellStart"/>
      <w:r w:rsidRPr="00EE60DA">
        <w:rPr>
          <w:rFonts w:cstheme="minorHAnsi"/>
        </w:rPr>
        <w:t>Kapikian</w:t>
      </w:r>
      <w:proofErr w:type="spellEnd"/>
      <w:r w:rsidRPr="00EE60DA">
        <w:rPr>
          <w:rFonts w:cstheme="minorHAnsi"/>
        </w:rPr>
        <w:t xml:space="preserve"> AZ, Wyatt RG, Dolin R et al. Visualization by immune electron microscopy of a 27-nm particle associated with acute infectious nonbacterial gastroenteritis. Journal of virology. 1972 Nov;10(5):1075-81. </w:t>
      </w:r>
    </w:p>
    <w:p w14:paraId="3F3828BD" w14:textId="77777777" w:rsidR="0037011B" w:rsidRPr="00E6266C" w:rsidRDefault="0037011B" w:rsidP="0037011B">
      <w:pPr>
        <w:pStyle w:val="ListParagraph"/>
        <w:numPr>
          <w:ilvl w:val="0"/>
          <w:numId w:val="48"/>
        </w:numPr>
        <w:spacing w:before="240" w:after="160" w:line="276" w:lineRule="auto"/>
      </w:pPr>
      <w:r w:rsidRPr="00242D83">
        <w:rPr>
          <w:rFonts w:cstheme="minorHAnsi"/>
        </w:rPr>
        <w:t>Chhabra P</w:t>
      </w:r>
      <w:r>
        <w:rPr>
          <w:rFonts w:cstheme="minorHAnsi"/>
        </w:rPr>
        <w:t>,</w:t>
      </w:r>
      <w:r w:rsidRPr="00242D83">
        <w:rPr>
          <w:rFonts w:cstheme="minorHAnsi"/>
        </w:rPr>
        <w:t xml:space="preserve"> De Graaf M</w:t>
      </w:r>
      <w:r>
        <w:rPr>
          <w:rFonts w:cstheme="minorHAnsi"/>
        </w:rPr>
        <w:t>,</w:t>
      </w:r>
      <w:r w:rsidRPr="00242D83">
        <w:rPr>
          <w:rFonts w:cstheme="minorHAnsi"/>
        </w:rPr>
        <w:t xml:space="preserve"> Parra GI</w:t>
      </w:r>
      <w:r>
        <w:rPr>
          <w:rFonts w:cstheme="minorHAnsi"/>
        </w:rPr>
        <w:t>,</w:t>
      </w:r>
      <w:r w:rsidRPr="00242D83">
        <w:rPr>
          <w:rFonts w:cstheme="minorHAnsi"/>
        </w:rPr>
        <w:t xml:space="preserve"> Cha</w:t>
      </w:r>
      <w:r>
        <w:rPr>
          <w:rFonts w:cstheme="minorHAnsi"/>
        </w:rPr>
        <w:t>n</w:t>
      </w:r>
      <w:r w:rsidRPr="00242D83">
        <w:rPr>
          <w:rFonts w:cstheme="minorHAnsi"/>
        </w:rPr>
        <w:t xml:space="preserve"> MC-W</w:t>
      </w:r>
      <w:r>
        <w:rPr>
          <w:rFonts w:cstheme="minorHAnsi"/>
        </w:rPr>
        <w:t>,</w:t>
      </w:r>
      <w:r w:rsidRPr="00242D83">
        <w:rPr>
          <w:rFonts w:cstheme="minorHAnsi"/>
        </w:rPr>
        <w:t xml:space="preserve"> Green K</w:t>
      </w:r>
      <w:r>
        <w:rPr>
          <w:rFonts w:cstheme="minorHAnsi"/>
        </w:rPr>
        <w:t>,</w:t>
      </w:r>
      <w:r w:rsidRPr="00242D83">
        <w:rPr>
          <w:rFonts w:cstheme="minorHAnsi"/>
        </w:rPr>
        <w:t xml:space="preserve"> </w:t>
      </w:r>
      <w:proofErr w:type="spellStart"/>
      <w:r w:rsidRPr="00242D83">
        <w:rPr>
          <w:rFonts w:cstheme="minorHAnsi"/>
        </w:rPr>
        <w:t>Martella</w:t>
      </w:r>
      <w:proofErr w:type="spellEnd"/>
      <w:r w:rsidRPr="00242D83">
        <w:rPr>
          <w:rFonts w:cstheme="minorHAnsi"/>
        </w:rPr>
        <w:t xml:space="preserve"> V</w:t>
      </w:r>
      <w:r>
        <w:rPr>
          <w:rFonts w:cstheme="minorHAnsi"/>
        </w:rPr>
        <w:t>,</w:t>
      </w:r>
      <w:r w:rsidRPr="00242D83">
        <w:rPr>
          <w:rFonts w:cstheme="minorHAnsi"/>
        </w:rPr>
        <w:t xml:space="preserve"> Wang Q</w:t>
      </w:r>
      <w:r>
        <w:rPr>
          <w:rFonts w:cstheme="minorHAnsi"/>
        </w:rPr>
        <w:t>,</w:t>
      </w:r>
      <w:r w:rsidRPr="00242D83">
        <w:rPr>
          <w:rFonts w:cstheme="minorHAnsi"/>
        </w:rPr>
        <w:t xml:space="preserve"> White PA</w:t>
      </w:r>
      <w:r>
        <w:rPr>
          <w:rFonts w:cstheme="minorHAnsi"/>
        </w:rPr>
        <w:t>,</w:t>
      </w:r>
      <w:r w:rsidRPr="00242D83">
        <w:rPr>
          <w:rFonts w:cstheme="minorHAnsi"/>
        </w:rPr>
        <w:t xml:space="preserve"> Katayama K</w:t>
      </w:r>
      <w:r>
        <w:rPr>
          <w:rFonts w:cstheme="minorHAnsi"/>
        </w:rPr>
        <w:t xml:space="preserve">, </w:t>
      </w:r>
      <w:proofErr w:type="spellStart"/>
      <w:r w:rsidRPr="00242D83">
        <w:rPr>
          <w:rFonts w:cstheme="minorHAnsi"/>
        </w:rPr>
        <w:t>Vennema</w:t>
      </w:r>
      <w:proofErr w:type="spellEnd"/>
      <w:r w:rsidRPr="00242D83">
        <w:rPr>
          <w:rFonts w:cstheme="minorHAnsi"/>
        </w:rPr>
        <w:t xml:space="preserve"> H et al. Updated Classification of Norovirus Genogroups and Genotypes. J. Gen. </w:t>
      </w:r>
      <w:proofErr w:type="spellStart"/>
      <w:r w:rsidRPr="00242D83">
        <w:rPr>
          <w:rFonts w:cstheme="minorHAnsi"/>
        </w:rPr>
        <w:t>Virol</w:t>
      </w:r>
      <w:proofErr w:type="spellEnd"/>
      <w:r w:rsidRPr="00242D83">
        <w:rPr>
          <w:rFonts w:cstheme="minorHAnsi"/>
        </w:rPr>
        <w:t>. 2019, 100, 1393–1406.</w:t>
      </w:r>
    </w:p>
    <w:p w14:paraId="687FA117" w14:textId="77777777" w:rsidR="0037011B" w:rsidRPr="00E6266C" w:rsidRDefault="0037011B" w:rsidP="0037011B">
      <w:pPr>
        <w:pStyle w:val="ListParagraph"/>
        <w:numPr>
          <w:ilvl w:val="0"/>
          <w:numId w:val="48"/>
        </w:numPr>
        <w:spacing w:before="240" w:after="160" w:line="276" w:lineRule="auto"/>
      </w:pPr>
      <w:proofErr w:type="spellStart"/>
      <w:r w:rsidRPr="00AB7097">
        <w:rPr>
          <w:rFonts w:cstheme="minorHAnsi"/>
        </w:rPr>
        <w:t>Hoa</w:t>
      </w:r>
      <w:proofErr w:type="spellEnd"/>
      <w:r w:rsidRPr="00AB7097">
        <w:rPr>
          <w:rFonts w:cstheme="minorHAnsi"/>
        </w:rPr>
        <w:t xml:space="preserve"> Tran TN, Trainor E, </w:t>
      </w:r>
      <w:proofErr w:type="spellStart"/>
      <w:r w:rsidRPr="00AB7097">
        <w:rPr>
          <w:rFonts w:cstheme="minorHAnsi"/>
        </w:rPr>
        <w:t>Nakagomi</w:t>
      </w:r>
      <w:proofErr w:type="spellEnd"/>
      <w:r w:rsidRPr="00AB7097">
        <w:rPr>
          <w:rFonts w:cstheme="minorHAnsi"/>
        </w:rPr>
        <w:t xml:space="preserve"> T, Cunliffe NA,</w:t>
      </w:r>
      <w:r>
        <w:rPr>
          <w:rFonts w:cstheme="minorHAnsi"/>
        </w:rPr>
        <w:t xml:space="preserve"> </w:t>
      </w:r>
      <w:proofErr w:type="spellStart"/>
      <w:r w:rsidRPr="00AB7097">
        <w:rPr>
          <w:rFonts w:cstheme="minorHAnsi"/>
        </w:rPr>
        <w:t>Nakagomi</w:t>
      </w:r>
      <w:proofErr w:type="spellEnd"/>
      <w:r w:rsidRPr="00AB7097">
        <w:rPr>
          <w:rFonts w:cstheme="minorHAnsi"/>
        </w:rPr>
        <w:t xml:space="preserve"> O. Molecular Epidemiology of Noroviruses Associated with Acute Sporadic Gastroenteritis in Children: Global Distribution of Genogroups, Genotypes and GII.4 Variants. J. Clin. </w:t>
      </w:r>
      <w:proofErr w:type="spellStart"/>
      <w:r w:rsidRPr="00AB7097">
        <w:rPr>
          <w:rFonts w:cstheme="minorHAnsi"/>
        </w:rPr>
        <w:t>Virol</w:t>
      </w:r>
      <w:proofErr w:type="spellEnd"/>
      <w:r w:rsidRPr="00AB7097">
        <w:rPr>
          <w:rFonts w:cstheme="minorHAnsi"/>
        </w:rPr>
        <w:t xml:space="preserve">. </w:t>
      </w:r>
      <w:r w:rsidRPr="001128A6">
        <w:rPr>
          <w:rFonts w:cstheme="minorHAnsi"/>
        </w:rPr>
        <w:t>2013,</w:t>
      </w:r>
      <w:r w:rsidRPr="00AB7097">
        <w:rPr>
          <w:rFonts w:cstheme="minorHAnsi"/>
        </w:rPr>
        <w:t>56, 269–277.</w:t>
      </w:r>
    </w:p>
    <w:p w14:paraId="0353E5AC" w14:textId="77777777" w:rsidR="0037011B" w:rsidRPr="00E6266C" w:rsidRDefault="0037011B" w:rsidP="0037011B">
      <w:pPr>
        <w:pStyle w:val="ListParagraph"/>
        <w:numPr>
          <w:ilvl w:val="0"/>
          <w:numId w:val="48"/>
        </w:numPr>
        <w:spacing w:before="240" w:after="160" w:line="276" w:lineRule="auto"/>
      </w:pPr>
      <w:r>
        <w:t xml:space="preserve">Wyatt RG, Dolin R, </w:t>
      </w:r>
      <w:proofErr w:type="spellStart"/>
      <w:r>
        <w:t>Blacklow</w:t>
      </w:r>
      <w:proofErr w:type="spellEnd"/>
      <w:r>
        <w:t xml:space="preserve"> NR, DuPont HL, </w:t>
      </w:r>
      <w:proofErr w:type="spellStart"/>
      <w:r>
        <w:t>Buscho</w:t>
      </w:r>
      <w:proofErr w:type="spellEnd"/>
      <w:r>
        <w:t xml:space="preserve"> RF, Thornhill TS, et al. Comparison of three agents of acute infectious nonbacterial gastroenteritis by cross-challenge in volunteers. The Journal of infectious diseases. 1974 Jun;129(6):709-14.PubMed PMID: 4209723.</w:t>
      </w:r>
    </w:p>
    <w:p w14:paraId="449EA3B1" w14:textId="77777777" w:rsidR="0037011B" w:rsidRDefault="0037011B" w:rsidP="0037011B">
      <w:pPr>
        <w:pStyle w:val="ListParagraph"/>
        <w:numPr>
          <w:ilvl w:val="0"/>
          <w:numId w:val="48"/>
        </w:numPr>
        <w:spacing w:after="200" w:line="276" w:lineRule="auto"/>
        <w:jc w:val="both"/>
      </w:pPr>
      <w:proofErr w:type="spellStart"/>
      <w:r>
        <w:t>Lopman</w:t>
      </w:r>
      <w:proofErr w:type="spellEnd"/>
      <w:r>
        <w:t xml:space="preserve"> BA, Reacher MH, Vipond IB, Sarangi J, Brown DW. Clinical manifestation of norovirus gastroenteritis in health care settings. Clinical infectious diseases. 2004 Aug 1;39(3):318-24. PubMed PMID: 15306997. </w:t>
      </w:r>
    </w:p>
    <w:p w14:paraId="14FA9D97" w14:textId="77777777" w:rsidR="0037011B" w:rsidRDefault="0037011B" w:rsidP="0037011B">
      <w:pPr>
        <w:pStyle w:val="ListParagraph"/>
        <w:numPr>
          <w:ilvl w:val="0"/>
          <w:numId w:val="48"/>
        </w:numPr>
        <w:spacing w:after="200" w:line="276" w:lineRule="auto"/>
        <w:jc w:val="both"/>
      </w:pPr>
      <w:r w:rsidRPr="00BF30DE">
        <w:rPr>
          <w:rFonts w:cstheme="minorHAnsi"/>
          <w:color w:val="212121"/>
          <w:shd w:val="clear" w:color="auto" w:fill="FFFFFF"/>
        </w:rPr>
        <w:t xml:space="preserve">Tam CC, Rodrigues LC, Viviani L, </w:t>
      </w:r>
      <w:proofErr w:type="spellStart"/>
      <w:r w:rsidRPr="00BF30DE">
        <w:rPr>
          <w:rFonts w:cstheme="minorHAnsi"/>
          <w:color w:val="212121"/>
          <w:shd w:val="clear" w:color="auto" w:fill="FFFFFF"/>
        </w:rPr>
        <w:t>Dodds</w:t>
      </w:r>
      <w:proofErr w:type="spellEnd"/>
      <w:r w:rsidRPr="00BF30DE">
        <w:rPr>
          <w:rFonts w:cstheme="minorHAnsi"/>
          <w:color w:val="212121"/>
          <w:shd w:val="clear" w:color="auto" w:fill="FFFFFF"/>
        </w:rPr>
        <w:t xml:space="preserve"> JP, Evans MR, Hunter PR, Gray JJ, </w:t>
      </w:r>
      <w:proofErr w:type="spellStart"/>
      <w:r w:rsidRPr="00BF30DE">
        <w:rPr>
          <w:rFonts w:cstheme="minorHAnsi"/>
          <w:color w:val="212121"/>
          <w:shd w:val="clear" w:color="auto" w:fill="FFFFFF"/>
        </w:rPr>
        <w:t>Letley</w:t>
      </w:r>
      <w:proofErr w:type="spellEnd"/>
      <w:r w:rsidRPr="00BF30DE">
        <w:rPr>
          <w:rFonts w:cstheme="minorHAnsi"/>
          <w:color w:val="212121"/>
          <w:shd w:val="clear" w:color="auto" w:fill="FFFFFF"/>
        </w:rPr>
        <w:t xml:space="preserve"> LH, </w:t>
      </w:r>
      <w:proofErr w:type="spellStart"/>
      <w:r w:rsidRPr="00BF30DE">
        <w:rPr>
          <w:rFonts w:cstheme="minorHAnsi"/>
          <w:color w:val="212121"/>
          <w:shd w:val="clear" w:color="auto" w:fill="FFFFFF"/>
        </w:rPr>
        <w:t>Rait</w:t>
      </w:r>
      <w:proofErr w:type="spellEnd"/>
      <w:r w:rsidRPr="00BF30DE">
        <w:rPr>
          <w:rFonts w:cstheme="minorHAnsi"/>
          <w:color w:val="212121"/>
          <w:shd w:val="clear" w:color="auto" w:fill="FFFFFF"/>
        </w:rPr>
        <w:t xml:space="preserve"> G, Tompkins DS, O'Brien SJ; IID2 Study Executive Committee. Longitudinal study of infectious intestinal disease in the UK (IID2 study): incidence in the community and presenting to general practice. Gut. 2012 Jan;61(1):69-77</w:t>
      </w:r>
      <w:r w:rsidRPr="00BF30DE">
        <w:rPr>
          <w:rFonts w:ascii="Segoe UI" w:hAnsi="Segoe UI" w:cs="Segoe UI"/>
          <w:color w:val="212121"/>
          <w:shd w:val="clear" w:color="auto" w:fill="FFFFFF"/>
        </w:rPr>
        <w:t>.</w:t>
      </w:r>
    </w:p>
    <w:p w14:paraId="6D7C5DA1" w14:textId="77777777" w:rsidR="0037011B" w:rsidRPr="00E6266C" w:rsidRDefault="0037011B" w:rsidP="0037011B">
      <w:pPr>
        <w:pStyle w:val="ListParagraph"/>
        <w:numPr>
          <w:ilvl w:val="0"/>
          <w:numId w:val="48"/>
        </w:numPr>
        <w:spacing w:before="240" w:after="160" w:line="276" w:lineRule="auto"/>
      </w:pPr>
      <w:proofErr w:type="spellStart"/>
      <w:r w:rsidRPr="008F24C5">
        <w:rPr>
          <w:rFonts w:cstheme="minorHAnsi"/>
          <w:color w:val="212121"/>
          <w:shd w:val="clear" w:color="auto" w:fill="FFFFFF"/>
        </w:rPr>
        <w:t>Sandmann</w:t>
      </w:r>
      <w:proofErr w:type="spellEnd"/>
      <w:r w:rsidRPr="008F24C5">
        <w:rPr>
          <w:rFonts w:cstheme="minorHAnsi"/>
          <w:color w:val="212121"/>
          <w:shd w:val="clear" w:color="auto" w:fill="FFFFFF"/>
        </w:rPr>
        <w:t xml:space="preserve"> FG, Shallcross L, Adams N, Allen DJ, Coen PG, Jeanes A, </w:t>
      </w:r>
      <w:proofErr w:type="spellStart"/>
      <w:r w:rsidRPr="008F24C5">
        <w:rPr>
          <w:rFonts w:cstheme="minorHAnsi"/>
          <w:color w:val="212121"/>
          <w:shd w:val="clear" w:color="auto" w:fill="FFFFFF"/>
        </w:rPr>
        <w:t>Kozlakidis</w:t>
      </w:r>
      <w:proofErr w:type="spellEnd"/>
      <w:r w:rsidRPr="008F24C5">
        <w:rPr>
          <w:rFonts w:cstheme="minorHAnsi"/>
          <w:color w:val="212121"/>
          <w:shd w:val="clear" w:color="auto" w:fill="FFFFFF"/>
        </w:rPr>
        <w:t xml:space="preserve"> Z, Larkin L, </w:t>
      </w:r>
      <w:proofErr w:type="spellStart"/>
      <w:r w:rsidRPr="008F24C5">
        <w:rPr>
          <w:rFonts w:cstheme="minorHAnsi"/>
          <w:color w:val="212121"/>
          <w:shd w:val="clear" w:color="auto" w:fill="FFFFFF"/>
        </w:rPr>
        <w:t>Wurie</w:t>
      </w:r>
      <w:proofErr w:type="spellEnd"/>
      <w:r w:rsidRPr="008F24C5">
        <w:rPr>
          <w:rFonts w:cstheme="minorHAnsi"/>
          <w:color w:val="212121"/>
          <w:shd w:val="clear" w:color="auto" w:fill="FFFFFF"/>
        </w:rPr>
        <w:t xml:space="preserve"> F, </w:t>
      </w:r>
      <w:proofErr w:type="spellStart"/>
      <w:r w:rsidRPr="008F24C5">
        <w:rPr>
          <w:rFonts w:cstheme="minorHAnsi"/>
          <w:color w:val="212121"/>
          <w:shd w:val="clear" w:color="auto" w:fill="FFFFFF"/>
        </w:rPr>
        <w:t>Robotham</w:t>
      </w:r>
      <w:proofErr w:type="spellEnd"/>
      <w:r w:rsidRPr="008F24C5">
        <w:rPr>
          <w:rFonts w:cstheme="minorHAnsi"/>
          <w:color w:val="212121"/>
          <w:shd w:val="clear" w:color="auto" w:fill="FFFFFF"/>
        </w:rPr>
        <w:t xml:space="preserve"> JV, Jit M, </w:t>
      </w:r>
      <w:proofErr w:type="spellStart"/>
      <w:r w:rsidRPr="008F24C5">
        <w:rPr>
          <w:rFonts w:cstheme="minorHAnsi"/>
          <w:color w:val="212121"/>
          <w:shd w:val="clear" w:color="auto" w:fill="FFFFFF"/>
        </w:rPr>
        <w:t>Deeny</w:t>
      </w:r>
      <w:proofErr w:type="spellEnd"/>
      <w:r w:rsidRPr="008F24C5">
        <w:rPr>
          <w:rFonts w:cstheme="minorHAnsi"/>
          <w:color w:val="212121"/>
          <w:shd w:val="clear" w:color="auto" w:fill="FFFFFF"/>
        </w:rPr>
        <w:t xml:space="preserve"> SR. Estimating the Hospital Burden of Norovirus-Associated Gastroenteritis in England and Its Opportunity Costs for </w:t>
      </w:r>
      <w:proofErr w:type="spellStart"/>
      <w:r w:rsidRPr="008F24C5">
        <w:rPr>
          <w:rFonts w:cstheme="minorHAnsi"/>
          <w:color w:val="212121"/>
          <w:shd w:val="clear" w:color="auto" w:fill="FFFFFF"/>
        </w:rPr>
        <w:t>Nonadmitted</w:t>
      </w:r>
      <w:proofErr w:type="spellEnd"/>
      <w:r w:rsidRPr="008F24C5">
        <w:rPr>
          <w:rFonts w:cstheme="minorHAnsi"/>
          <w:color w:val="212121"/>
          <w:shd w:val="clear" w:color="auto" w:fill="FFFFFF"/>
        </w:rPr>
        <w:t xml:space="preserve"> Patients. Clin Infect Dis. 2018 Aug 16;67(5):693-700</w:t>
      </w:r>
    </w:p>
    <w:p w14:paraId="5720D708" w14:textId="77777777" w:rsidR="0037011B" w:rsidRDefault="0037011B" w:rsidP="0037011B">
      <w:pPr>
        <w:pStyle w:val="ListParagraph"/>
        <w:numPr>
          <w:ilvl w:val="0"/>
          <w:numId w:val="48"/>
        </w:numPr>
        <w:spacing w:before="240" w:after="160" w:line="276" w:lineRule="auto"/>
        <w:rPr>
          <w:rFonts w:cstheme="minorHAnsi"/>
          <w:color w:val="212121"/>
          <w:shd w:val="clear" w:color="auto" w:fill="FFFFFF"/>
        </w:rPr>
      </w:pPr>
      <w:r>
        <w:rPr>
          <w:rFonts w:cstheme="minorHAnsi"/>
          <w:color w:val="212121"/>
          <w:shd w:val="clear" w:color="auto" w:fill="FFFFFF"/>
        </w:rPr>
        <w:t xml:space="preserve">National Institute for Health and Care Excellence. </w:t>
      </w:r>
      <w:r w:rsidRPr="00E6266C">
        <w:rPr>
          <w:rFonts w:cstheme="minorHAnsi"/>
          <w:color w:val="212121"/>
          <w:shd w:val="clear" w:color="auto" w:fill="FFFFFF"/>
        </w:rPr>
        <w:t>Developing NICE guidelines: the manual</w:t>
      </w:r>
      <w:r>
        <w:rPr>
          <w:rFonts w:cstheme="minorHAnsi"/>
          <w:color w:val="212121"/>
          <w:shd w:val="clear" w:color="auto" w:fill="FFFFFF"/>
        </w:rPr>
        <w:t xml:space="preserve">. </w:t>
      </w:r>
      <w:r w:rsidRPr="00E6266C">
        <w:rPr>
          <w:rFonts w:cstheme="minorHAnsi"/>
          <w:color w:val="212121"/>
          <w:shd w:val="clear" w:color="auto" w:fill="FFFFFF"/>
        </w:rPr>
        <w:t>Process and methods</w:t>
      </w:r>
      <w:r>
        <w:rPr>
          <w:rFonts w:cstheme="minorHAnsi"/>
          <w:color w:val="212121"/>
          <w:shd w:val="clear" w:color="auto" w:fill="FFFFFF"/>
        </w:rPr>
        <w:t xml:space="preserve">. </w:t>
      </w:r>
      <w:r w:rsidRPr="00E6266C">
        <w:rPr>
          <w:rFonts w:cstheme="minorHAnsi"/>
          <w:color w:val="212121"/>
          <w:shd w:val="clear" w:color="auto" w:fill="FFFFFF"/>
        </w:rPr>
        <w:t>Published: 31 October 2014</w:t>
      </w:r>
      <w:r>
        <w:rPr>
          <w:rFonts w:cstheme="minorHAnsi"/>
          <w:color w:val="212121"/>
          <w:shd w:val="clear" w:color="auto" w:fill="FFFFFF"/>
        </w:rPr>
        <w:t>;</w:t>
      </w:r>
      <w:r w:rsidRPr="00E6266C">
        <w:rPr>
          <w:rFonts w:cstheme="minorHAnsi"/>
          <w:color w:val="212121"/>
          <w:shd w:val="clear" w:color="auto" w:fill="FFFFFF"/>
        </w:rPr>
        <w:t xml:space="preserve"> Last updated: 18 January 2022</w:t>
      </w:r>
      <w:r>
        <w:rPr>
          <w:rFonts w:cstheme="minorHAnsi"/>
          <w:color w:val="212121"/>
          <w:shd w:val="clear" w:color="auto" w:fill="FFFFFF"/>
        </w:rPr>
        <w:t xml:space="preserve">. Available at: </w:t>
      </w:r>
      <w:hyperlink r:id="rId11" w:history="1">
        <w:r w:rsidRPr="00D54A16">
          <w:rPr>
            <w:rStyle w:val="Hyperlink"/>
            <w:rFonts w:cstheme="minorHAnsi"/>
            <w:shd w:val="clear" w:color="auto" w:fill="FFFFFF"/>
          </w:rPr>
          <w:t>https://www.nice.org.uk/process/pmg20/chapter/introduction</w:t>
        </w:r>
      </w:hyperlink>
      <w:r>
        <w:rPr>
          <w:rFonts w:cstheme="minorHAnsi"/>
          <w:color w:val="212121"/>
          <w:shd w:val="clear" w:color="auto" w:fill="FFFFFF"/>
        </w:rPr>
        <w:t xml:space="preserve"> Last accessed: 15/09/2022. </w:t>
      </w:r>
    </w:p>
    <w:p w14:paraId="21E63D54" w14:textId="77777777" w:rsidR="0037011B" w:rsidRDefault="0037011B" w:rsidP="0037011B">
      <w:pPr>
        <w:pStyle w:val="ListParagraph"/>
        <w:numPr>
          <w:ilvl w:val="0"/>
          <w:numId w:val="48"/>
        </w:numPr>
        <w:spacing w:before="240" w:after="160" w:line="276" w:lineRule="auto"/>
      </w:pPr>
      <w:r>
        <w:t xml:space="preserve">Cummins, M. and D. Ready (2016). Role of the Hospital Environment in Norovirus Containment. The Journal of infectious diseases 213 </w:t>
      </w:r>
      <w:proofErr w:type="spellStart"/>
      <w:r>
        <w:t>Suppl</w:t>
      </w:r>
      <w:proofErr w:type="spellEnd"/>
      <w:r>
        <w:t xml:space="preserve"> 1: S12-14.</w:t>
      </w:r>
    </w:p>
    <w:p w14:paraId="18CB76D1" w14:textId="77777777" w:rsidR="0037011B" w:rsidRDefault="0037011B" w:rsidP="0037011B">
      <w:pPr>
        <w:pStyle w:val="ListParagraph"/>
        <w:numPr>
          <w:ilvl w:val="0"/>
          <w:numId w:val="48"/>
        </w:numPr>
        <w:spacing w:before="240" w:after="160" w:line="276" w:lineRule="auto"/>
      </w:pPr>
      <w:r>
        <w:lastRenderedPageBreak/>
        <w:t xml:space="preserve">Darley, E. S. R., et al. (2018). Impact of moving to a new hospital build, with a high proportion of single rooms, on healthcare-associated infections and outbreaks. The Journal of hospital infection 98(2): 191-193. </w:t>
      </w:r>
    </w:p>
    <w:p w14:paraId="5099E559" w14:textId="77777777" w:rsidR="0037011B" w:rsidRDefault="0037011B" w:rsidP="0037011B">
      <w:pPr>
        <w:pStyle w:val="ListParagraph"/>
        <w:numPr>
          <w:ilvl w:val="0"/>
          <w:numId w:val="48"/>
        </w:numPr>
        <w:spacing w:before="240" w:after="160" w:line="276" w:lineRule="auto"/>
      </w:pPr>
      <w:r>
        <w:t xml:space="preserve">Fraenkel, C. J., et al. (2018). Risk factors for hospital norovirus outbreaks: impact of vomiting, genotype, and multi-occupancy rooms. Journal of Hospital Infection 98(4): 398-403. </w:t>
      </w:r>
    </w:p>
    <w:p w14:paraId="3B0074BA" w14:textId="77777777" w:rsidR="0037011B" w:rsidRDefault="0037011B" w:rsidP="0037011B">
      <w:pPr>
        <w:pStyle w:val="ListParagraph"/>
        <w:numPr>
          <w:ilvl w:val="0"/>
          <w:numId w:val="48"/>
        </w:numPr>
        <w:spacing w:before="240" w:after="160" w:line="276" w:lineRule="auto"/>
      </w:pPr>
      <w:r>
        <w:t>Fraenkel, C. J., et al. (2021). Risk of environmental transmission of norovirus infection from prior room occupants. Journal of Hospital Infection 117: 74-80.</w:t>
      </w:r>
    </w:p>
    <w:p w14:paraId="1B8AE4E8" w14:textId="77777777" w:rsidR="0037011B" w:rsidRDefault="0037011B" w:rsidP="0037011B">
      <w:pPr>
        <w:pStyle w:val="ListParagraph"/>
        <w:numPr>
          <w:ilvl w:val="0"/>
          <w:numId w:val="48"/>
        </w:numPr>
        <w:spacing w:before="240" w:after="160" w:line="276" w:lineRule="auto"/>
      </w:pPr>
      <w:r>
        <w:t>Danial, J., et al. (2016). Lessons learned from a prolonged and costly norovirus outbreak at a Scottish medicine of the elderly hospital: case study. Journal of Hospital Infection 93(2): 127-134.</w:t>
      </w:r>
    </w:p>
    <w:p w14:paraId="3A7C49E2" w14:textId="77777777" w:rsidR="0037011B" w:rsidRDefault="0037011B" w:rsidP="0037011B">
      <w:pPr>
        <w:pStyle w:val="ListParagraph"/>
        <w:numPr>
          <w:ilvl w:val="0"/>
          <w:numId w:val="48"/>
        </w:numPr>
        <w:spacing w:before="240" w:after="160" w:line="276" w:lineRule="auto"/>
      </w:pPr>
      <w:r>
        <w:t>Illingworth, E., et al. (2011). Is closure of entire wards necessary to control norovirus outbreaks in hospital? Comparing the effectiveness of two infection control strategies. The Journal of hospital infection 79(1): 32-37.</w:t>
      </w:r>
    </w:p>
    <w:p w14:paraId="4D2B4662" w14:textId="77777777" w:rsidR="0037011B" w:rsidRDefault="0037011B" w:rsidP="0037011B">
      <w:pPr>
        <w:pStyle w:val="ListParagraph"/>
        <w:numPr>
          <w:ilvl w:val="0"/>
          <w:numId w:val="48"/>
        </w:numPr>
        <w:spacing w:before="240" w:after="160" w:line="276" w:lineRule="auto"/>
      </w:pPr>
      <w:r>
        <w:t>Lin, H., et al. (2011). Institutional risk factors for norovirus outbreaks in Hong Kong elderly homes: a retrospective cohort study. BMC public health 11: 297.</w:t>
      </w:r>
    </w:p>
    <w:p w14:paraId="1037EAEE" w14:textId="77777777" w:rsidR="0037011B" w:rsidRDefault="0037011B" w:rsidP="0037011B">
      <w:pPr>
        <w:pStyle w:val="ListParagraph"/>
        <w:numPr>
          <w:ilvl w:val="0"/>
          <w:numId w:val="48"/>
        </w:numPr>
        <w:spacing w:before="240" w:after="160" w:line="276" w:lineRule="auto"/>
      </w:pPr>
      <w:r>
        <w:t xml:space="preserve">Tian, L. W., et al. (2015). Institutional risk factors for outbreaks of acute gastroenteritis in homes for the elderly: A retrospective cohort analysis. Hong Kong Medical Journal 21(3 Supplement 4): 20-21. </w:t>
      </w:r>
    </w:p>
    <w:p w14:paraId="4C3C7152" w14:textId="77777777" w:rsidR="0037011B" w:rsidRDefault="0037011B" w:rsidP="0037011B">
      <w:pPr>
        <w:pStyle w:val="ListParagraph"/>
        <w:numPr>
          <w:ilvl w:val="0"/>
          <w:numId w:val="48"/>
        </w:numPr>
        <w:spacing w:before="240" w:after="160" w:line="276" w:lineRule="auto"/>
      </w:pPr>
      <w:r w:rsidRPr="00227F28">
        <w:t>Curran, E. T. and D. Bunyan (2012). Using a PDSA cycle of improvement to increase preparedness for, and management of, norovirus in NHS Scotland. Journal of Hospital Infection 82(2): 108-113.</w:t>
      </w:r>
    </w:p>
    <w:p w14:paraId="45D42DDB" w14:textId="77777777" w:rsidR="0037011B" w:rsidRDefault="0037011B" w:rsidP="0037011B">
      <w:pPr>
        <w:pStyle w:val="ListParagraph"/>
        <w:numPr>
          <w:ilvl w:val="0"/>
          <w:numId w:val="48"/>
        </w:numPr>
        <w:spacing w:before="240" w:after="160" w:line="276" w:lineRule="auto"/>
      </w:pPr>
      <w:r>
        <w:t xml:space="preserve">Lynn, S, </w:t>
      </w:r>
      <w:proofErr w:type="spellStart"/>
      <w:r>
        <w:t>Toop</w:t>
      </w:r>
      <w:proofErr w:type="spellEnd"/>
      <w:r>
        <w:t>, J, Hanger, C and Millar, N. 2004. Norovirus outbreaks in a hospital setting: The role of infection control. J New Zealand Med Assoc, 117: 1189</w:t>
      </w:r>
    </w:p>
    <w:p w14:paraId="77F006F1" w14:textId="77777777" w:rsidR="0037011B" w:rsidRPr="004455E3" w:rsidRDefault="0037011B" w:rsidP="0037011B">
      <w:pPr>
        <w:pStyle w:val="ListParagraph"/>
        <w:numPr>
          <w:ilvl w:val="0"/>
          <w:numId w:val="48"/>
        </w:numPr>
        <w:spacing w:before="240" w:after="160" w:line="276" w:lineRule="auto"/>
        <w:rPr>
          <w:rFonts w:cstheme="minorHAnsi"/>
          <w:color w:val="212121"/>
          <w:shd w:val="clear" w:color="auto" w:fill="FFFFFF"/>
        </w:rPr>
      </w:pPr>
      <w:r w:rsidRPr="009E5D50">
        <w:t xml:space="preserve">Schmid D, Lederer I, Pichler AM, </w:t>
      </w:r>
      <w:proofErr w:type="spellStart"/>
      <w:r w:rsidRPr="009E5D50">
        <w:t>Berghold</w:t>
      </w:r>
      <w:proofErr w:type="spellEnd"/>
      <w:r w:rsidRPr="009E5D50">
        <w:t xml:space="preserve"> C, Schreier E, </w:t>
      </w:r>
      <w:proofErr w:type="spellStart"/>
      <w:r w:rsidRPr="009E5D50">
        <w:t>Allerberger</w:t>
      </w:r>
      <w:proofErr w:type="spellEnd"/>
      <w:r w:rsidRPr="009E5D50">
        <w:t xml:space="preserve"> F. An outbreak of Norovirus infection affecting an Austrian nursing home and a hospital. Wien </w:t>
      </w:r>
      <w:proofErr w:type="spellStart"/>
      <w:r w:rsidRPr="009E5D50">
        <w:t>Klin</w:t>
      </w:r>
      <w:proofErr w:type="spellEnd"/>
      <w:r w:rsidRPr="009E5D50">
        <w:t xml:space="preserve"> </w:t>
      </w:r>
      <w:proofErr w:type="spellStart"/>
      <w:r w:rsidRPr="009E5D50">
        <w:t>Wochenschr</w:t>
      </w:r>
      <w:proofErr w:type="spellEnd"/>
      <w:r w:rsidRPr="009E5D50">
        <w:t xml:space="preserve"> 2005;117:802e808.</w:t>
      </w:r>
    </w:p>
    <w:p w14:paraId="4E474A54" w14:textId="77777777" w:rsidR="0037011B" w:rsidRDefault="0037011B" w:rsidP="0037011B">
      <w:pPr>
        <w:pStyle w:val="ListParagraph"/>
        <w:numPr>
          <w:ilvl w:val="0"/>
          <w:numId w:val="48"/>
        </w:numPr>
        <w:spacing w:before="240" w:after="160" w:line="276" w:lineRule="auto"/>
      </w:pPr>
      <w:proofErr w:type="spellStart"/>
      <w:r>
        <w:t>Friesema</w:t>
      </w:r>
      <w:proofErr w:type="spellEnd"/>
      <w:r>
        <w:t xml:space="preserve">, I. H. M., et al. (2009). Norovirus outbreaks in nursing homes: The evaluation of infection control measures. Epidemiology and Infection 137(12): 1722-1733. </w:t>
      </w:r>
    </w:p>
    <w:p w14:paraId="1FFB5F3F" w14:textId="77777777" w:rsidR="0037011B" w:rsidRDefault="0037011B" w:rsidP="0037011B">
      <w:pPr>
        <w:pStyle w:val="ListParagraph"/>
        <w:numPr>
          <w:ilvl w:val="0"/>
          <w:numId w:val="48"/>
        </w:numPr>
        <w:spacing w:before="240" w:after="160" w:line="276" w:lineRule="auto"/>
      </w:pPr>
      <w:r w:rsidRPr="009A61ED">
        <w:t xml:space="preserve">Cheng FWT, Leung TF, </w:t>
      </w:r>
      <w:proofErr w:type="spellStart"/>
      <w:r w:rsidRPr="009A61ED">
        <w:t>Raymons</w:t>
      </w:r>
      <w:proofErr w:type="spellEnd"/>
      <w:r w:rsidRPr="009A61ED">
        <w:t xml:space="preserve"> L, Chan PKS, Hon EKL, Ng PC. Rapid control of norovirus gastroenteritis outbreak in an acute paediatric ward. Acta </w:t>
      </w:r>
      <w:proofErr w:type="spellStart"/>
      <w:r w:rsidRPr="009A61ED">
        <w:t>Paediatrica</w:t>
      </w:r>
      <w:proofErr w:type="spellEnd"/>
      <w:r w:rsidRPr="009A61ED">
        <w:t xml:space="preserve"> 2006; 95:581–6.</w:t>
      </w:r>
      <w:r>
        <w:t xml:space="preserve"> </w:t>
      </w:r>
    </w:p>
    <w:p w14:paraId="0981A87D" w14:textId="77777777" w:rsidR="0037011B" w:rsidRDefault="0037011B" w:rsidP="0037011B">
      <w:pPr>
        <w:pStyle w:val="ListParagraph"/>
        <w:numPr>
          <w:ilvl w:val="0"/>
          <w:numId w:val="48"/>
        </w:numPr>
        <w:spacing w:before="240" w:after="160" w:line="276" w:lineRule="auto"/>
      </w:pPr>
      <w:r w:rsidRPr="00324F8A">
        <w:t>Cheng VC, et al. Successful control of norovirus outbreak in an infirmary with the use of alcohol-based hand rub. Journal of Hospital Infection 2009; 72: 370–371.</w:t>
      </w:r>
      <w:r>
        <w:t xml:space="preserve"> </w:t>
      </w:r>
    </w:p>
    <w:p w14:paraId="4E298A84" w14:textId="77777777" w:rsidR="0037011B" w:rsidRDefault="0037011B" w:rsidP="0037011B">
      <w:pPr>
        <w:pStyle w:val="ListParagraph"/>
        <w:numPr>
          <w:ilvl w:val="0"/>
          <w:numId w:val="48"/>
        </w:numPr>
        <w:spacing w:before="240" w:after="160" w:line="276" w:lineRule="auto"/>
      </w:pPr>
      <w:proofErr w:type="spellStart"/>
      <w:r w:rsidRPr="00324F8A">
        <w:t>Cieslak</w:t>
      </w:r>
      <w:proofErr w:type="spellEnd"/>
      <w:r w:rsidRPr="00324F8A">
        <w:t xml:space="preserve"> P, et al. Recurring norovirus outbreaks in a </w:t>
      </w:r>
      <w:proofErr w:type="spellStart"/>
      <w:r w:rsidRPr="00324F8A">
        <w:t>longterm</w:t>
      </w:r>
      <w:proofErr w:type="spellEnd"/>
      <w:r w:rsidRPr="00324F8A">
        <w:t xml:space="preserve"> residential treatment facility-Oregon, 2007. Morbidity and Mortality Weekly Report 2009; 58: 694–698</w:t>
      </w:r>
      <w:r>
        <w:t xml:space="preserve"> </w:t>
      </w:r>
    </w:p>
    <w:p w14:paraId="2AB3D241" w14:textId="77777777" w:rsidR="0037011B" w:rsidRPr="009A61ED" w:rsidRDefault="0037011B" w:rsidP="0037011B">
      <w:pPr>
        <w:pStyle w:val="ListParagraph"/>
        <w:numPr>
          <w:ilvl w:val="0"/>
          <w:numId w:val="48"/>
        </w:numPr>
        <w:spacing w:before="240" w:after="160" w:line="276" w:lineRule="auto"/>
      </w:pPr>
      <w:r w:rsidRPr="009A61ED">
        <w:t xml:space="preserve">Han, M. S., et al. (2020). Successful control of norovirus outbreak in a </w:t>
      </w:r>
      <w:proofErr w:type="spellStart"/>
      <w:r w:rsidRPr="009A61ED">
        <w:t>pediatric</w:t>
      </w:r>
      <w:proofErr w:type="spellEnd"/>
      <w:r w:rsidRPr="009A61ED">
        <w:t xml:space="preserve"> ward with multi-bed rooms. American Journal of Infection Control 48(3): 297-303.</w:t>
      </w:r>
      <w:r>
        <w:t xml:space="preserve"> </w:t>
      </w:r>
    </w:p>
    <w:p w14:paraId="4F95DB75" w14:textId="77777777" w:rsidR="0037011B" w:rsidRDefault="0037011B" w:rsidP="0037011B">
      <w:pPr>
        <w:pStyle w:val="ListParagraph"/>
        <w:numPr>
          <w:ilvl w:val="0"/>
          <w:numId w:val="48"/>
        </w:numPr>
        <w:spacing w:before="240" w:after="160" w:line="276" w:lineRule="auto"/>
      </w:pPr>
      <w:r w:rsidRPr="00324F8A">
        <w:lastRenderedPageBreak/>
        <w:t xml:space="preserve">Johnston C, </w:t>
      </w:r>
      <w:proofErr w:type="spellStart"/>
      <w:r w:rsidRPr="00324F8A">
        <w:t>Qiu</w:t>
      </w:r>
      <w:proofErr w:type="spellEnd"/>
      <w:r w:rsidRPr="00324F8A">
        <w:t xml:space="preserve"> H, Ticehurst JR, Dickson C, Rosenbaum P, Lawson P, Stokes AB, Lowenstein CJ, Kaminsky M, Cosgrove SE, et al. 2007. Outbreak management and implications of a nosocomial norovirus outbreak. Clin Infect Dis. 45:534–540</w:t>
      </w:r>
      <w:r>
        <w:t xml:space="preserve"> </w:t>
      </w:r>
    </w:p>
    <w:p w14:paraId="4310FB29" w14:textId="77777777" w:rsidR="0037011B" w:rsidRDefault="0037011B" w:rsidP="0037011B">
      <w:pPr>
        <w:pStyle w:val="ListParagraph"/>
        <w:numPr>
          <w:ilvl w:val="0"/>
          <w:numId w:val="48"/>
        </w:numPr>
        <w:spacing w:before="240" w:after="160" w:line="276" w:lineRule="auto"/>
      </w:pPr>
      <w:r>
        <w:t xml:space="preserve">Khanna, N., et al. (2003). Gastroenteritis outbreak with norovirus in a Swiss university hospital with a newly identified virus strain. Journal of Hospital Infection 55(2): 131-136. </w:t>
      </w:r>
    </w:p>
    <w:p w14:paraId="7D801DB2" w14:textId="77777777" w:rsidR="0037011B" w:rsidRDefault="0037011B" w:rsidP="0037011B">
      <w:pPr>
        <w:pStyle w:val="ListParagraph"/>
        <w:numPr>
          <w:ilvl w:val="0"/>
          <w:numId w:val="48"/>
        </w:numPr>
        <w:spacing w:before="240" w:after="160" w:line="276" w:lineRule="auto"/>
      </w:pPr>
      <w:proofErr w:type="spellStart"/>
      <w:r w:rsidRPr="00324F8A">
        <w:t>Linkenheld-Struk</w:t>
      </w:r>
      <w:proofErr w:type="spellEnd"/>
      <w:r w:rsidRPr="00324F8A">
        <w:t>, A. L., et al. (2020). Influenza and norovirus outbreaks in an inpatient mental health setting: Analysis and strategies for successful containment. Canadian Journal of Infection Control 35(1): 26-30.</w:t>
      </w:r>
      <w:r>
        <w:t xml:space="preserve"> </w:t>
      </w:r>
    </w:p>
    <w:p w14:paraId="370032A5" w14:textId="77777777" w:rsidR="0037011B" w:rsidRDefault="0037011B" w:rsidP="0037011B">
      <w:pPr>
        <w:pStyle w:val="ListParagraph"/>
        <w:numPr>
          <w:ilvl w:val="0"/>
          <w:numId w:val="48"/>
        </w:numPr>
        <w:spacing w:before="240" w:after="160" w:line="276" w:lineRule="auto"/>
      </w:pPr>
      <w:r w:rsidRPr="009A61ED">
        <w:t xml:space="preserve">McCall, J and Smithson, R. 2002. Rapid response and strict control measures can contain a hospital outbreak of Norwalk-like virus. Comm Dis </w:t>
      </w:r>
      <w:proofErr w:type="spellStart"/>
      <w:r w:rsidRPr="009A61ED">
        <w:t>Publ</w:t>
      </w:r>
      <w:proofErr w:type="spellEnd"/>
      <w:r w:rsidRPr="009A61ED">
        <w:t xml:space="preserve"> Health, 5: 243–246</w:t>
      </w:r>
      <w:r>
        <w:t xml:space="preserve"> </w:t>
      </w:r>
    </w:p>
    <w:p w14:paraId="1DA3BCE2" w14:textId="77777777" w:rsidR="0037011B" w:rsidRPr="009A61ED" w:rsidRDefault="0037011B" w:rsidP="0037011B">
      <w:pPr>
        <w:pStyle w:val="ListParagraph"/>
        <w:numPr>
          <w:ilvl w:val="0"/>
          <w:numId w:val="48"/>
        </w:numPr>
        <w:spacing w:before="240" w:after="160" w:line="276" w:lineRule="auto"/>
      </w:pPr>
      <w:r w:rsidRPr="009A61ED">
        <w:t>Russo et al. Hospital Outbreak of Norwalk-Like Virus. Infect Control Hosp Epidemiol. 1997 Aug;18(8):576-</w:t>
      </w:r>
      <w:r w:rsidRPr="004455E3">
        <w:rPr>
          <w:color w:val="00B0F0"/>
        </w:rPr>
        <w:t xml:space="preserve"> </w:t>
      </w:r>
    </w:p>
    <w:p w14:paraId="2D91F4E2" w14:textId="77777777" w:rsidR="0037011B" w:rsidRDefault="0037011B" w:rsidP="0037011B">
      <w:pPr>
        <w:pStyle w:val="ListParagraph"/>
        <w:numPr>
          <w:ilvl w:val="0"/>
          <w:numId w:val="48"/>
        </w:numPr>
        <w:spacing w:before="240" w:after="160" w:line="276" w:lineRule="auto"/>
      </w:pPr>
      <w:r w:rsidRPr="009A61ED">
        <w:t xml:space="preserve">Stevenson P, McCann R, Duthie R, </w:t>
      </w:r>
      <w:proofErr w:type="spellStart"/>
      <w:r w:rsidRPr="009A61ED">
        <w:t>Glew</w:t>
      </w:r>
      <w:proofErr w:type="spellEnd"/>
      <w:r w:rsidRPr="009A61ED">
        <w:t xml:space="preserve"> E, Ganguli L. A hospital outbreak due to Norwalk virus. J Hosp Infect. 1994;26(4):261-72</w:t>
      </w:r>
      <w:r>
        <w:t xml:space="preserve"> </w:t>
      </w:r>
    </w:p>
    <w:p w14:paraId="536C4037" w14:textId="77777777" w:rsidR="0037011B" w:rsidRDefault="0037011B" w:rsidP="0037011B">
      <w:pPr>
        <w:pStyle w:val="ListParagraph"/>
        <w:numPr>
          <w:ilvl w:val="0"/>
          <w:numId w:val="48"/>
        </w:numPr>
        <w:spacing w:before="240" w:after="160" w:line="276" w:lineRule="auto"/>
      </w:pPr>
      <w:r w:rsidRPr="009A61ED">
        <w:t xml:space="preserve">Weber, D. J., et al. (2005). Lessons learned from a norovirus outbreak in a locked </w:t>
      </w:r>
      <w:proofErr w:type="spellStart"/>
      <w:r w:rsidRPr="009A61ED">
        <w:t>pediatric</w:t>
      </w:r>
      <w:proofErr w:type="spellEnd"/>
      <w:r w:rsidRPr="009A61ED">
        <w:t xml:space="preserve"> inpatient psychiatric unit. Infection Control and Hospital Epidemiology 26(10): 841-843.</w:t>
      </w:r>
      <w:r>
        <w:t xml:space="preserve"> </w:t>
      </w:r>
    </w:p>
    <w:p w14:paraId="7AE86E12" w14:textId="77777777" w:rsidR="0037011B" w:rsidRDefault="0037011B" w:rsidP="0037011B">
      <w:pPr>
        <w:pStyle w:val="ListParagraph"/>
        <w:numPr>
          <w:ilvl w:val="0"/>
          <w:numId w:val="48"/>
        </w:numPr>
        <w:spacing w:before="240" w:after="160" w:line="276" w:lineRule="auto"/>
      </w:pPr>
      <w:r w:rsidRPr="00324F8A">
        <w:t>Wu, H. M., et al. (2005). A norovirus outbreak at a long-term-care facility: The role of environmental surface contamination. Infection Control and Hospital Epidemiology 26(10): 802-810.</w:t>
      </w:r>
      <w:r>
        <w:t xml:space="preserve"> </w:t>
      </w:r>
    </w:p>
    <w:p w14:paraId="41D39E8D" w14:textId="77777777" w:rsidR="0037011B" w:rsidRDefault="0037011B" w:rsidP="0037011B">
      <w:pPr>
        <w:pStyle w:val="ListParagraph"/>
        <w:numPr>
          <w:ilvl w:val="0"/>
          <w:numId w:val="48"/>
        </w:numPr>
        <w:spacing w:before="240" w:after="160" w:line="276" w:lineRule="auto"/>
      </w:pPr>
      <w:r w:rsidRPr="009A61ED">
        <w:t xml:space="preserve">Yang Li-C, Chiang PC, Huang TH, Chi </w:t>
      </w:r>
      <w:proofErr w:type="spellStart"/>
      <w:r w:rsidRPr="009A61ED">
        <w:t>Su</w:t>
      </w:r>
      <w:proofErr w:type="spellEnd"/>
      <w:r w:rsidRPr="009A61ED">
        <w:t>-F, Chiu Yueh-Pi, Lin Chun-Sui, et al. Residents had an increasing risk of norovirus gastroenteritis infection than health care workers during an outbreak in a nursing home. J Am Med Dir Assoc 2010;11:592–7</w:t>
      </w:r>
      <w:r>
        <w:t xml:space="preserve"> </w:t>
      </w:r>
    </w:p>
    <w:p w14:paraId="6E76645B" w14:textId="77777777" w:rsidR="0037011B" w:rsidRDefault="0037011B" w:rsidP="0037011B">
      <w:pPr>
        <w:pStyle w:val="ListParagraph"/>
        <w:numPr>
          <w:ilvl w:val="0"/>
          <w:numId w:val="48"/>
        </w:numPr>
        <w:spacing w:before="240" w:after="160" w:line="276" w:lineRule="auto"/>
      </w:pPr>
      <w:r w:rsidRPr="009A61ED">
        <w:t>Navarro, G., et al. (2005). An outbreak of norovirus infection in a long-term-care unit in Spain. Infection Control and Hospital Epidemiology 26(3): 259-262.</w:t>
      </w:r>
      <w:r>
        <w:t xml:space="preserve"> </w:t>
      </w:r>
    </w:p>
    <w:p w14:paraId="4EF4EECB" w14:textId="77777777" w:rsidR="0037011B" w:rsidRPr="009A61ED" w:rsidRDefault="0037011B" w:rsidP="0037011B">
      <w:pPr>
        <w:pStyle w:val="ListParagraph"/>
        <w:numPr>
          <w:ilvl w:val="0"/>
          <w:numId w:val="48"/>
        </w:numPr>
        <w:spacing w:before="240" w:after="160" w:line="276" w:lineRule="auto"/>
      </w:pPr>
      <w:proofErr w:type="spellStart"/>
      <w:r w:rsidRPr="009A61ED">
        <w:t>Georgiadou</w:t>
      </w:r>
      <w:proofErr w:type="spellEnd"/>
      <w:r w:rsidRPr="009A61ED">
        <w:t>, S. P., et al. (2011). Effective control of an acute gastroenteritis outbreak due to norovirus infection in a hospital ward in Athens, Greece, April 2011. Eurosurveillance 16(28).</w:t>
      </w:r>
      <w:r>
        <w:t xml:space="preserve"> </w:t>
      </w:r>
    </w:p>
    <w:p w14:paraId="2579C5C7" w14:textId="77777777" w:rsidR="0037011B" w:rsidRPr="009A61ED" w:rsidRDefault="0037011B" w:rsidP="0037011B">
      <w:pPr>
        <w:pStyle w:val="ListParagraph"/>
        <w:numPr>
          <w:ilvl w:val="0"/>
          <w:numId w:val="48"/>
        </w:numPr>
        <w:spacing w:before="240" w:after="160" w:line="276" w:lineRule="auto"/>
      </w:pPr>
      <w:r w:rsidRPr="009A61ED">
        <w:t xml:space="preserve">Sheahan, A., et al. (2015). Control of norovirus outbreak on a </w:t>
      </w:r>
      <w:proofErr w:type="spellStart"/>
      <w:r w:rsidRPr="009A61ED">
        <w:t>pediatric</w:t>
      </w:r>
      <w:proofErr w:type="spellEnd"/>
      <w:r w:rsidRPr="009A61ED">
        <w:t xml:space="preserve"> oncology unit. American journal of infection control 43(10): 1066-1069.</w:t>
      </w:r>
      <w:r>
        <w:t xml:space="preserve"> </w:t>
      </w:r>
    </w:p>
    <w:p w14:paraId="4BA52993" w14:textId="77777777" w:rsidR="0037011B" w:rsidRDefault="0037011B" w:rsidP="0037011B">
      <w:pPr>
        <w:pStyle w:val="ListParagraph"/>
        <w:numPr>
          <w:ilvl w:val="0"/>
          <w:numId w:val="48"/>
        </w:numPr>
        <w:spacing w:before="240" w:after="160" w:line="276" w:lineRule="auto"/>
      </w:pPr>
      <w:proofErr w:type="spellStart"/>
      <w:r w:rsidRPr="009A61ED">
        <w:t>Zingg</w:t>
      </w:r>
      <w:proofErr w:type="spellEnd"/>
      <w:r w:rsidRPr="009A61ED">
        <w:t xml:space="preserve"> W, Colombo C, Jucker T, </w:t>
      </w:r>
      <w:proofErr w:type="spellStart"/>
      <w:r w:rsidRPr="009A61ED">
        <w:t>Bossart</w:t>
      </w:r>
      <w:proofErr w:type="spellEnd"/>
      <w:r w:rsidRPr="009A61ED">
        <w:t xml:space="preserve"> W, Ruef C. Impact of an outbreak of norovirus infection on hospital resources. Infect Control Hosp Epidemiol 2005;26:263e267.</w:t>
      </w:r>
      <w:r>
        <w:t xml:space="preserve"> </w:t>
      </w:r>
    </w:p>
    <w:p w14:paraId="1A38D4C8" w14:textId="77777777" w:rsidR="0037011B" w:rsidRDefault="0037011B" w:rsidP="0037011B">
      <w:pPr>
        <w:pStyle w:val="ListParagraph"/>
        <w:numPr>
          <w:ilvl w:val="0"/>
          <w:numId w:val="48"/>
        </w:numPr>
        <w:spacing w:before="240" w:after="160" w:line="276" w:lineRule="auto"/>
      </w:pPr>
      <w:r w:rsidRPr="00324F8A">
        <w:t>Menezes, F. G. d., et al. (2010). An outbreak of norovirus infection in a long-term care facility in Brazil. Einstein (Sao Paulo, Brazil) 8(4): 410-413.</w:t>
      </w:r>
      <w:r>
        <w:t xml:space="preserve"> </w:t>
      </w:r>
    </w:p>
    <w:p w14:paraId="1147B11C" w14:textId="77777777" w:rsidR="0037011B" w:rsidRDefault="0037011B" w:rsidP="0037011B">
      <w:pPr>
        <w:pStyle w:val="ListParagraph"/>
        <w:numPr>
          <w:ilvl w:val="0"/>
          <w:numId w:val="48"/>
        </w:numPr>
        <w:spacing w:before="240" w:after="160" w:line="276" w:lineRule="auto"/>
      </w:pPr>
      <w:r w:rsidRPr="009A61ED">
        <w:t>Hoyle J. Managing the challenge of an acute gastroenteritis outbreak caused by a Norwalk-like virus in a 239 bed long-term care facility. Australian Infection Control 2001; 6: 128–133.</w:t>
      </w:r>
      <w:r>
        <w:t xml:space="preserve"> </w:t>
      </w:r>
    </w:p>
    <w:p w14:paraId="06623859" w14:textId="77777777" w:rsidR="0037011B" w:rsidRDefault="0037011B" w:rsidP="0037011B">
      <w:pPr>
        <w:pStyle w:val="ListParagraph"/>
        <w:numPr>
          <w:ilvl w:val="0"/>
          <w:numId w:val="48"/>
        </w:numPr>
        <w:spacing w:before="240" w:after="160" w:line="276" w:lineRule="auto"/>
      </w:pPr>
      <w:r w:rsidRPr="00324F8A">
        <w:t xml:space="preserve">Diggs R, Diallo A, Kan H, </w:t>
      </w:r>
      <w:proofErr w:type="spellStart"/>
      <w:r w:rsidRPr="00324F8A">
        <w:t>Glymph</w:t>
      </w:r>
      <w:proofErr w:type="spellEnd"/>
      <w:r w:rsidRPr="00324F8A">
        <w:t xml:space="preserve"> C, Furness B. Norovirus outbreak in an elementary school—District of Columbia, February 2007. MMWR Morbid Mortal </w:t>
      </w:r>
      <w:proofErr w:type="spellStart"/>
      <w:r w:rsidRPr="00324F8A">
        <w:t>Wkly</w:t>
      </w:r>
      <w:proofErr w:type="spellEnd"/>
      <w:r w:rsidRPr="00324F8A">
        <w:t xml:space="preserve"> Rep 2008; 56:1340–3.</w:t>
      </w:r>
      <w:r>
        <w:t xml:space="preserve"> </w:t>
      </w:r>
    </w:p>
    <w:p w14:paraId="01185227" w14:textId="77777777" w:rsidR="0037011B" w:rsidRDefault="0037011B" w:rsidP="0037011B">
      <w:pPr>
        <w:pStyle w:val="ListParagraph"/>
        <w:numPr>
          <w:ilvl w:val="0"/>
          <w:numId w:val="48"/>
        </w:numPr>
        <w:spacing w:before="240" w:after="160" w:line="276" w:lineRule="auto"/>
      </w:pPr>
      <w:r>
        <w:lastRenderedPageBreak/>
        <w:t xml:space="preserve">Kim, S., et al. (2019). Norovirus outbreak in a kindergarten: Human to human transmission among children. Infection and Chemotherapy 51(2): 171-176. </w:t>
      </w:r>
    </w:p>
    <w:p w14:paraId="1D144EE7" w14:textId="77777777" w:rsidR="0037011B" w:rsidRPr="009A61ED" w:rsidRDefault="0037011B" w:rsidP="0037011B">
      <w:pPr>
        <w:pStyle w:val="ListParagraph"/>
        <w:numPr>
          <w:ilvl w:val="0"/>
          <w:numId w:val="48"/>
        </w:numPr>
        <w:spacing w:before="240" w:after="160" w:line="276" w:lineRule="auto"/>
      </w:pPr>
      <w:r w:rsidRPr="009A61ED">
        <w:t>Marks, P. J., et al. (2003). A school outbreak of Norwalk-like virus: Evidence for airborne transmission. Epidemiology and Infection 131(1): 727-736.</w:t>
      </w:r>
      <w:r>
        <w:t xml:space="preserve"> </w:t>
      </w:r>
    </w:p>
    <w:p w14:paraId="2F23B841" w14:textId="77777777" w:rsidR="0037011B" w:rsidRDefault="0037011B" w:rsidP="0037011B">
      <w:pPr>
        <w:pStyle w:val="ListParagraph"/>
        <w:numPr>
          <w:ilvl w:val="0"/>
          <w:numId w:val="48"/>
        </w:numPr>
        <w:spacing w:before="240" w:after="160" w:line="276" w:lineRule="auto"/>
      </w:pPr>
      <w:r w:rsidRPr="009A61ED">
        <w:t xml:space="preserve">Michel, A., et al. (2007). Norovirus outbreak associated with a hotel in the west of Ireland, 2006. Euro surveillance : bulletin </w:t>
      </w:r>
      <w:proofErr w:type="spellStart"/>
      <w:r w:rsidRPr="009A61ED">
        <w:t>Europeen</w:t>
      </w:r>
      <w:proofErr w:type="spellEnd"/>
      <w:r w:rsidRPr="009A61ED">
        <w:t xml:space="preserve"> sur les maladies </w:t>
      </w:r>
      <w:proofErr w:type="spellStart"/>
      <w:r w:rsidRPr="009A61ED">
        <w:t>transmissibles</w:t>
      </w:r>
      <w:proofErr w:type="spellEnd"/>
      <w:r w:rsidRPr="009A61ED">
        <w:t xml:space="preserve"> = European communicable disease bulletin 12(7): E11-12.</w:t>
      </w:r>
      <w:r>
        <w:t xml:space="preserve"> </w:t>
      </w:r>
    </w:p>
    <w:p w14:paraId="08606DC5" w14:textId="77777777" w:rsidR="0037011B" w:rsidRDefault="0037011B" w:rsidP="0037011B">
      <w:pPr>
        <w:pStyle w:val="ListParagraph"/>
        <w:numPr>
          <w:ilvl w:val="0"/>
          <w:numId w:val="48"/>
        </w:numPr>
        <w:spacing w:before="240" w:after="160" w:line="276" w:lineRule="auto"/>
      </w:pPr>
      <w:proofErr w:type="spellStart"/>
      <w:r w:rsidRPr="009A61ED">
        <w:t>Vivancos</w:t>
      </w:r>
      <w:proofErr w:type="spellEnd"/>
      <w:r w:rsidRPr="009A61ED">
        <w:t xml:space="preserve">, R., Keenan, A., </w:t>
      </w:r>
      <w:proofErr w:type="spellStart"/>
      <w:r w:rsidRPr="009A61ED">
        <w:t>Sopwith</w:t>
      </w:r>
      <w:proofErr w:type="spellEnd"/>
      <w:r w:rsidRPr="009A61ED">
        <w:t xml:space="preserve">, W., Smith, K., Quigley, C., Mutton, K., </w:t>
      </w:r>
      <w:proofErr w:type="spellStart"/>
      <w:r w:rsidRPr="009A61ED">
        <w:t>Dardamissis</w:t>
      </w:r>
      <w:proofErr w:type="spellEnd"/>
      <w:r w:rsidRPr="009A61ED">
        <w:t>, E., Nichols, G. et al. (2010) Norovirus outbreak in a cruise ship sailing around the British Isles: investigation and multi-agency management of an international outbreak. J Infect 60, 478–485.</w:t>
      </w:r>
      <w:r>
        <w:t xml:space="preserve"> </w:t>
      </w:r>
    </w:p>
    <w:p w14:paraId="765FD9B8" w14:textId="77777777" w:rsidR="0037011B" w:rsidRPr="009A61ED" w:rsidRDefault="0037011B" w:rsidP="0037011B">
      <w:pPr>
        <w:pStyle w:val="ListParagraph"/>
        <w:numPr>
          <w:ilvl w:val="0"/>
          <w:numId w:val="48"/>
        </w:numPr>
        <w:spacing w:before="240" w:after="160" w:line="276" w:lineRule="auto"/>
      </w:pPr>
      <w:proofErr w:type="spellStart"/>
      <w:r w:rsidRPr="00324F8A">
        <w:t>Xue</w:t>
      </w:r>
      <w:proofErr w:type="spellEnd"/>
      <w:r w:rsidRPr="00324F8A">
        <w:t>, C., et al. (2014). An outbreak of acute norovirus gastroenteritis in a boarding school in Shanghai: a retrospective cohort study. BMC public health 14: 1092.</w:t>
      </w:r>
      <w:r>
        <w:t xml:space="preserve"> </w:t>
      </w:r>
    </w:p>
    <w:p w14:paraId="56306469" w14:textId="77777777" w:rsidR="0037011B" w:rsidRDefault="0037011B" w:rsidP="0037011B">
      <w:pPr>
        <w:pStyle w:val="ListParagraph"/>
        <w:numPr>
          <w:ilvl w:val="0"/>
          <w:numId w:val="48"/>
        </w:numPr>
        <w:spacing w:before="240" w:after="160" w:line="276" w:lineRule="auto"/>
      </w:pPr>
      <w:r w:rsidRPr="009A61ED">
        <w:t>Yang, Z., et al. (2011). Epidemiological survey and analysis on an outbreak of gastroenteritis due to water contamination. Biomedical and Environmental Sciences 24(3): 275-283.</w:t>
      </w:r>
      <w:r>
        <w:t xml:space="preserve"> </w:t>
      </w:r>
    </w:p>
    <w:p w14:paraId="1988FC6B" w14:textId="77777777" w:rsidR="0037011B" w:rsidRDefault="0037011B" w:rsidP="0037011B">
      <w:pPr>
        <w:pStyle w:val="ListParagraph"/>
        <w:numPr>
          <w:ilvl w:val="0"/>
          <w:numId w:val="48"/>
        </w:numPr>
        <w:spacing w:before="240" w:after="160" w:line="276" w:lineRule="auto"/>
      </w:pPr>
      <w:r w:rsidRPr="00324F8A">
        <w:t xml:space="preserve">Yap J., Qadir A., Liu I., </w:t>
      </w:r>
      <w:proofErr w:type="spellStart"/>
      <w:r w:rsidRPr="00324F8A">
        <w:t>Loh</w:t>
      </w:r>
      <w:proofErr w:type="spellEnd"/>
      <w:r w:rsidRPr="00324F8A">
        <w:t xml:space="preserve"> J., Tang B.H., Lee V.J. Outbreak of acute norovirus gastroenteritis in a military facility in Singapore: a public health perspective. Singapore Med J 2012; 53(4) 249.</w:t>
      </w:r>
      <w:r>
        <w:t xml:space="preserve"> </w:t>
      </w:r>
    </w:p>
    <w:p w14:paraId="37485A68" w14:textId="77777777" w:rsidR="0037011B" w:rsidRPr="009A61ED" w:rsidRDefault="0037011B" w:rsidP="0037011B">
      <w:pPr>
        <w:pStyle w:val="ListParagraph"/>
        <w:numPr>
          <w:ilvl w:val="0"/>
          <w:numId w:val="48"/>
        </w:numPr>
        <w:spacing w:before="240" w:after="160" w:line="276" w:lineRule="auto"/>
      </w:pPr>
      <w:r>
        <w:t xml:space="preserve">Lively, </w:t>
      </w:r>
      <w:proofErr w:type="spellStart"/>
      <w:r>
        <w:t>Shacara</w:t>
      </w:r>
      <w:proofErr w:type="spellEnd"/>
      <w:r>
        <w:t xml:space="preserve"> D Johnson, Mary </w:t>
      </w:r>
      <w:proofErr w:type="spellStart"/>
      <w:r>
        <w:t>Wikswo</w:t>
      </w:r>
      <w:proofErr w:type="spellEnd"/>
      <w:r>
        <w:t xml:space="preserve">, </w:t>
      </w:r>
      <w:proofErr w:type="spellStart"/>
      <w:r>
        <w:t>Weidong</w:t>
      </w:r>
      <w:proofErr w:type="spellEnd"/>
      <w:r>
        <w:t xml:space="preserve"> Gu, Juan Leon, Aron J Hall, Clinical and Epidemiologic Profiles for Identifying Norovirus in Acute Gastroenteritis Outbreak Investigations, Open Forum Infectious Diseases, Volume 5, Issue 4, April 2018, ofy049 </w:t>
      </w:r>
    </w:p>
    <w:p w14:paraId="6DC110D5" w14:textId="77777777" w:rsidR="0037011B" w:rsidRDefault="0037011B" w:rsidP="0037011B">
      <w:pPr>
        <w:pStyle w:val="ListParagraph"/>
        <w:numPr>
          <w:ilvl w:val="0"/>
          <w:numId w:val="48"/>
        </w:numPr>
        <w:spacing w:before="240" w:after="160" w:line="276" w:lineRule="auto"/>
      </w:pPr>
      <w:r>
        <w:t xml:space="preserve">Turcios RM, Widdowson MA, Sulka AC, Mead PS, Glass RI. </w:t>
      </w:r>
      <w:proofErr w:type="spellStart"/>
      <w:r>
        <w:t>Reevaluation</w:t>
      </w:r>
      <w:proofErr w:type="spellEnd"/>
      <w:r>
        <w:t xml:space="preserve"> of epidemiological criteria for identifying outbreaks of acute gastroenteritis due to norovirus: United States, 1998-2000. Clin Infect Dis. 2006;42(7):964-969. </w:t>
      </w:r>
    </w:p>
    <w:p w14:paraId="22AFBF68" w14:textId="77777777" w:rsidR="0037011B" w:rsidRDefault="0037011B" w:rsidP="0037011B">
      <w:pPr>
        <w:pStyle w:val="ListParagraph"/>
        <w:numPr>
          <w:ilvl w:val="0"/>
          <w:numId w:val="48"/>
        </w:numPr>
        <w:spacing w:before="240" w:after="160" w:line="276" w:lineRule="auto"/>
      </w:pPr>
      <w:r w:rsidRPr="009A61ED">
        <w:t xml:space="preserve">de Bruin E, </w:t>
      </w:r>
      <w:proofErr w:type="spellStart"/>
      <w:r w:rsidRPr="009A61ED">
        <w:t>Duizer</w:t>
      </w:r>
      <w:proofErr w:type="spellEnd"/>
      <w:r w:rsidRPr="009A61ED">
        <w:t xml:space="preserve"> E, </w:t>
      </w:r>
      <w:proofErr w:type="spellStart"/>
      <w:r w:rsidRPr="009A61ED">
        <w:t>Vennema</w:t>
      </w:r>
      <w:proofErr w:type="spellEnd"/>
      <w:r w:rsidRPr="009A61ED">
        <w:t xml:space="preserve"> H, Koopmans MP. Diagnosis of Norovirus outbreaks by commercial ELISA or RT-PCR. J </w:t>
      </w:r>
      <w:proofErr w:type="spellStart"/>
      <w:r w:rsidRPr="009A61ED">
        <w:t>Virol</w:t>
      </w:r>
      <w:proofErr w:type="spellEnd"/>
      <w:r w:rsidRPr="009A61ED">
        <w:t xml:space="preserve"> Methods. 2006;137(2):259-264.</w:t>
      </w:r>
      <w:r>
        <w:t xml:space="preserve"> </w:t>
      </w:r>
    </w:p>
    <w:p w14:paraId="4B4EAE5B" w14:textId="77777777" w:rsidR="0037011B" w:rsidRDefault="0037011B" w:rsidP="0037011B">
      <w:pPr>
        <w:pStyle w:val="ListParagraph"/>
        <w:numPr>
          <w:ilvl w:val="0"/>
          <w:numId w:val="48"/>
        </w:numPr>
        <w:spacing w:before="240" w:after="160" w:line="276" w:lineRule="auto"/>
      </w:pPr>
      <w:proofErr w:type="spellStart"/>
      <w:r>
        <w:t>Duizer</w:t>
      </w:r>
      <w:proofErr w:type="spellEnd"/>
      <w:r>
        <w:t xml:space="preserve"> E, </w:t>
      </w:r>
      <w:proofErr w:type="spellStart"/>
      <w:r>
        <w:t>Pielaat</w:t>
      </w:r>
      <w:proofErr w:type="spellEnd"/>
      <w:r>
        <w:t xml:space="preserve"> A, </w:t>
      </w:r>
      <w:proofErr w:type="spellStart"/>
      <w:r>
        <w:t>Vennema</w:t>
      </w:r>
      <w:proofErr w:type="spellEnd"/>
      <w:r>
        <w:t xml:space="preserve"> H, </w:t>
      </w:r>
      <w:proofErr w:type="spellStart"/>
      <w:r>
        <w:t>Kroneman</w:t>
      </w:r>
      <w:proofErr w:type="spellEnd"/>
      <w:r>
        <w:t xml:space="preserve"> A, Koopmans M. Probabilities in norovirus outbreak diagnosis. J Clin </w:t>
      </w:r>
      <w:proofErr w:type="spellStart"/>
      <w:r>
        <w:t>Virol</w:t>
      </w:r>
      <w:proofErr w:type="spellEnd"/>
      <w:r>
        <w:t xml:space="preserve">. 2007 Sep;40(1):38-42 </w:t>
      </w:r>
    </w:p>
    <w:p w14:paraId="2483AE07" w14:textId="77777777" w:rsidR="0037011B" w:rsidRDefault="0037011B" w:rsidP="0037011B">
      <w:pPr>
        <w:pStyle w:val="ListParagraph"/>
        <w:numPr>
          <w:ilvl w:val="0"/>
          <w:numId w:val="48"/>
        </w:numPr>
        <w:spacing w:before="240" w:after="160" w:line="276" w:lineRule="auto"/>
      </w:pPr>
      <w:proofErr w:type="spellStart"/>
      <w:r w:rsidRPr="009A61ED">
        <w:t>Fisman</w:t>
      </w:r>
      <w:proofErr w:type="spellEnd"/>
      <w:r w:rsidRPr="009A61ED">
        <w:t xml:space="preserve">, D.N., Greer, A.L., </w:t>
      </w:r>
      <w:proofErr w:type="spellStart"/>
      <w:r w:rsidRPr="009A61ED">
        <w:t>Brouhanski</w:t>
      </w:r>
      <w:proofErr w:type="spellEnd"/>
      <w:r w:rsidRPr="009A61ED">
        <w:t xml:space="preserve">, G. et al. Of gastro and the gold standard: evaluation and policy implications of norovirus test performance for outbreak detection. J </w:t>
      </w:r>
      <w:proofErr w:type="spellStart"/>
      <w:r w:rsidRPr="009A61ED">
        <w:t>Transl</w:t>
      </w:r>
      <w:proofErr w:type="spellEnd"/>
      <w:r w:rsidRPr="009A61ED">
        <w:t xml:space="preserve"> Med 7, 23 (2009).</w:t>
      </w:r>
      <w:r>
        <w:t xml:space="preserve"> </w:t>
      </w:r>
    </w:p>
    <w:p w14:paraId="6AB81BA1" w14:textId="77777777" w:rsidR="0037011B" w:rsidRPr="009A61ED" w:rsidRDefault="0037011B" w:rsidP="0037011B">
      <w:pPr>
        <w:pStyle w:val="ListParagraph"/>
        <w:numPr>
          <w:ilvl w:val="0"/>
          <w:numId w:val="48"/>
        </w:numPr>
        <w:spacing w:before="240" w:after="160" w:line="276" w:lineRule="auto"/>
      </w:pPr>
      <w:r w:rsidRPr="009A61ED">
        <w:t xml:space="preserve">Richards, A. F., B. </w:t>
      </w:r>
      <w:proofErr w:type="spellStart"/>
      <w:r w:rsidRPr="009A61ED">
        <w:t>Lopman</w:t>
      </w:r>
      <w:proofErr w:type="spellEnd"/>
      <w:r w:rsidRPr="009A61ED">
        <w:t xml:space="preserve">, A. Gunn, A. Curry, D. Ellis, H. Cotterill, S. Ratcliffe, M. Jenkins, H. Appleton, C. I. Gallimore, J. J. Gray, and D. W. Brown. 2003. Evaluation of a commercial ELISA for detecting Norwalk-like virus antigen in faeces. J. Clin. </w:t>
      </w:r>
      <w:proofErr w:type="spellStart"/>
      <w:r w:rsidRPr="009A61ED">
        <w:t>Virol</w:t>
      </w:r>
      <w:proofErr w:type="spellEnd"/>
      <w:r w:rsidRPr="009A61ED">
        <w:t>. 26:109–115</w:t>
      </w:r>
      <w:r>
        <w:t xml:space="preserve"> </w:t>
      </w:r>
    </w:p>
    <w:p w14:paraId="3408EE91" w14:textId="77777777" w:rsidR="0037011B" w:rsidRDefault="0037011B" w:rsidP="0037011B">
      <w:pPr>
        <w:pStyle w:val="ListParagraph"/>
        <w:numPr>
          <w:ilvl w:val="0"/>
          <w:numId w:val="48"/>
        </w:numPr>
        <w:spacing w:before="240" w:after="160" w:line="276" w:lineRule="auto"/>
      </w:pPr>
      <w:proofErr w:type="spellStart"/>
      <w:r w:rsidRPr="009A61ED">
        <w:t>Gillbride</w:t>
      </w:r>
      <w:proofErr w:type="spellEnd"/>
      <w:r w:rsidRPr="009A61ED">
        <w:t xml:space="preserve">, S. J., Lee B. E., Taylor, G. D., </w:t>
      </w:r>
      <w:proofErr w:type="spellStart"/>
      <w:r w:rsidRPr="009A61ED">
        <w:t>Forgie</w:t>
      </w:r>
      <w:proofErr w:type="spellEnd"/>
      <w:r w:rsidRPr="009A61ED">
        <w:t>, S. E. (2009) Successful Containment of a Norovirus Outbreak in an Acute Adult Psychiatric Area. Infection Control and Hospital Epidemiology, 30(3), 289-291</w:t>
      </w:r>
      <w:r>
        <w:t xml:space="preserve"> </w:t>
      </w:r>
    </w:p>
    <w:p w14:paraId="55B50CE9" w14:textId="77777777" w:rsidR="0037011B" w:rsidRPr="009A61ED" w:rsidRDefault="0037011B" w:rsidP="0037011B">
      <w:pPr>
        <w:pStyle w:val="ListParagraph"/>
        <w:numPr>
          <w:ilvl w:val="0"/>
          <w:numId w:val="48"/>
        </w:numPr>
        <w:spacing w:before="240" w:after="160" w:line="276" w:lineRule="auto"/>
      </w:pPr>
      <w:r w:rsidRPr="009A61ED">
        <w:lastRenderedPageBreak/>
        <w:t>Green, J., et al. (1998). The role of environmental contamination with small round structured viruses in a hospital outbreak investigated by reverse-transcriptase polymerase chain reaction assay. Journal of Hospital Infection 39(1): 39-45.</w:t>
      </w:r>
      <w:r>
        <w:t xml:space="preserve"> </w:t>
      </w:r>
    </w:p>
    <w:p w14:paraId="1DBD377D" w14:textId="77777777" w:rsidR="0037011B" w:rsidRPr="009A61ED" w:rsidRDefault="0037011B" w:rsidP="0037011B">
      <w:pPr>
        <w:pStyle w:val="ListParagraph"/>
        <w:numPr>
          <w:ilvl w:val="0"/>
          <w:numId w:val="48"/>
        </w:numPr>
        <w:spacing w:before="240" w:after="160" w:line="276" w:lineRule="auto"/>
      </w:pPr>
      <w:r w:rsidRPr="009A61ED">
        <w:t>Marx A, et al. An outbreak of acute gastroenteritis in a geriatric long-term-care facility : combined application of epidemiological and molecular diagnostic methods. Infection Control and Hospital Epidemiology 1999; 20: 306–311.</w:t>
      </w:r>
      <w:r>
        <w:t xml:space="preserve"> </w:t>
      </w:r>
    </w:p>
    <w:p w14:paraId="7F067F03" w14:textId="77777777" w:rsidR="0037011B" w:rsidRPr="009A61ED" w:rsidRDefault="0037011B" w:rsidP="0037011B">
      <w:pPr>
        <w:pStyle w:val="ListParagraph"/>
        <w:numPr>
          <w:ilvl w:val="0"/>
          <w:numId w:val="48"/>
        </w:numPr>
        <w:spacing w:before="240" w:after="160" w:line="276" w:lineRule="auto"/>
      </w:pPr>
      <w:proofErr w:type="spellStart"/>
      <w:r w:rsidRPr="009A61ED">
        <w:t>Ronveaux</w:t>
      </w:r>
      <w:proofErr w:type="spellEnd"/>
      <w:r w:rsidRPr="009A61ED">
        <w:t xml:space="preserve"> O, Vos D, Bosman A, </w:t>
      </w:r>
      <w:proofErr w:type="spellStart"/>
      <w:r w:rsidRPr="009A61ED">
        <w:t>Brandwijk</w:t>
      </w:r>
      <w:proofErr w:type="spellEnd"/>
      <w:r w:rsidRPr="009A61ED">
        <w:t xml:space="preserve"> K, </w:t>
      </w:r>
      <w:proofErr w:type="spellStart"/>
      <w:r w:rsidRPr="009A61ED">
        <w:t>Vinjé</w:t>
      </w:r>
      <w:proofErr w:type="spellEnd"/>
      <w:r w:rsidRPr="009A61ED">
        <w:t xml:space="preserve"> J, Koopmans M, </w:t>
      </w:r>
      <w:proofErr w:type="spellStart"/>
      <w:r w:rsidRPr="009A61ED">
        <w:t>Reintjes</w:t>
      </w:r>
      <w:proofErr w:type="spellEnd"/>
      <w:r w:rsidRPr="009A61ED">
        <w:t xml:space="preserve"> R. 2000. An outbreak of Norwalk like virus gastroenteritis in a nursing home in Rotterdam. Euro </w:t>
      </w:r>
      <w:proofErr w:type="spellStart"/>
      <w:r w:rsidRPr="009A61ED">
        <w:t>Surveill</w:t>
      </w:r>
      <w:proofErr w:type="spellEnd"/>
      <w:r w:rsidRPr="009A61ED">
        <w:t>. 5:54–57</w:t>
      </w:r>
      <w:r>
        <w:t xml:space="preserve"> </w:t>
      </w:r>
    </w:p>
    <w:p w14:paraId="374396AB" w14:textId="77777777" w:rsidR="0037011B" w:rsidRDefault="0037011B" w:rsidP="0037011B">
      <w:pPr>
        <w:pStyle w:val="ListParagraph"/>
        <w:numPr>
          <w:ilvl w:val="0"/>
          <w:numId w:val="48"/>
        </w:numPr>
        <w:spacing w:before="240" w:after="160" w:line="276" w:lineRule="auto"/>
      </w:pPr>
      <w:r>
        <w:t>Love SS, Jiang X, Barrett E, Farkas T, Kelly S. A large hotel outbreak of Norwalk-like virus gastroenteritis among three groups of guests and hotel employees in Virginia. Epidemiol Infect 2002;129:127-132</w:t>
      </w:r>
    </w:p>
    <w:p w14:paraId="36F7EC46" w14:textId="77777777" w:rsidR="0037011B" w:rsidRDefault="0037011B" w:rsidP="0037011B">
      <w:pPr>
        <w:pStyle w:val="ListParagraph"/>
        <w:numPr>
          <w:ilvl w:val="0"/>
          <w:numId w:val="48"/>
        </w:numPr>
        <w:spacing w:before="240" w:after="160" w:line="276" w:lineRule="auto"/>
      </w:pPr>
      <w:r w:rsidRPr="00D067D2">
        <w:t>Cheng, V. C. C., et al. (2011). Prevention of nosocomial transmission of norovirus by strategic infection control measures. Infection Control and Hospital Epidemiology 32(3): 229-237.</w:t>
      </w:r>
    </w:p>
    <w:p w14:paraId="602FFE36" w14:textId="77777777" w:rsidR="0037011B" w:rsidRDefault="0037011B" w:rsidP="0037011B">
      <w:pPr>
        <w:pStyle w:val="ListParagraph"/>
        <w:numPr>
          <w:ilvl w:val="0"/>
          <w:numId w:val="48"/>
        </w:numPr>
        <w:spacing w:before="240" w:after="160" w:line="276" w:lineRule="auto"/>
      </w:pPr>
      <w:proofErr w:type="spellStart"/>
      <w:r w:rsidRPr="00D067D2">
        <w:t>Beersma</w:t>
      </w:r>
      <w:proofErr w:type="spellEnd"/>
      <w:r w:rsidRPr="00D067D2">
        <w:t xml:space="preserve"> MF, </w:t>
      </w:r>
      <w:proofErr w:type="spellStart"/>
      <w:r w:rsidRPr="00D067D2">
        <w:t>Sukhrie</w:t>
      </w:r>
      <w:proofErr w:type="spellEnd"/>
      <w:r w:rsidRPr="00D067D2">
        <w:t xml:space="preserve"> FH, </w:t>
      </w:r>
      <w:proofErr w:type="spellStart"/>
      <w:r w:rsidRPr="00D067D2">
        <w:t>Bogerman</w:t>
      </w:r>
      <w:proofErr w:type="spellEnd"/>
      <w:r w:rsidRPr="00D067D2">
        <w:t xml:space="preserve"> J, Verhoef L, </w:t>
      </w:r>
      <w:proofErr w:type="spellStart"/>
      <w:r w:rsidRPr="00D067D2">
        <w:t>Mde</w:t>
      </w:r>
      <w:proofErr w:type="spellEnd"/>
      <w:r w:rsidRPr="00D067D2">
        <w:t xml:space="preserve"> Melo M, </w:t>
      </w:r>
      <w:proofErr w:type="spellStart"/>
      <w:r w:rsidRPr="00D067D2">
        <w:t>Vonk</w:t>
      </w:r>
      <w:proofErr w:type="spellEnd"/>
      <w:r w:rsidRPr="00D067D2">
        <w:t xml:space="preserve"> AG, Koopmans M. Unrecognized norovirus infections in health care institutions and their clinical impact. J Clin </w:t>
      </w:r>
      <w:proofErr w:type="spellStart"/>
      <w:r w:rsidRPr="00D067D2">
        <w:t>Microbiol</w:t>
      </w:r>
      <w:proofErr w:type="spellEnd"/>
      <w:r w:rsidRPr="00D067D2">
        <w:t>. 2012 Sep;50(9):3040-5</w:t>
      </w:r>
    </w:p>
    <w:p w14:paraId="2C385415" w14:textId="77777777" w:rsidR="0037011B" w:rsidRDefault="0037011B" w:rsidP="0037011B">
      <w:pPr>
        <w:pStyle w:val="ListParagraph"/>
        <w:numPr>
          <w:ilvl w:val="0"/>
          <w:numId w:val="48"/>
        </w:numPr>
        <w:spacing w:before="240" w:after="160" w:line="276" w:lineRule="auto"/>
      </w:pPr>
      <w:r>
        <w:t xml:space="preserve">Simon, A., et al. (2006). Norovirus outbreak in a </w:t>
      </w:r>
      <w:proofErr w:type="spellStart"/>
      <w:r>
        <w:t>pediatric</w:t>
      </w:r>
      <w:proofErr w:type="spellEnd"/>
      <w:r>
        <w:t xml:space="preserve"> oncology unit. Scandinavian Journal of Gastroenterology 41(6): 693-699.</w:t>
      </w:r>
    </w:p>
    <w:p w14:paraId="07FE63C7" w14:textId="77777777" w:rsidR="0037011B" w:rsidRPr="00C75413" w:rsidRDefault="0037011B" w:rsidP="0037011B">
      <w:pPr>
        <w:pStyle w:val="ListParagraph"/>
        <w:numPr>
          <w:ilvl w:val="0"/>
          <w:numId w:val="48"/>
        </w:numPr>
        <w:spacing w:before="240" w:after="160" w:line="276" w:lineRule="auto"/>
      </w:pPr>
      <w:r w:rsidRPr="00C75413">
        <w:t>De Medici, D., et al. (2007). Effectiveness of an RT-booster-PCR method for detection of noroviruses in stools collected after an outbreak of gastroenteritis. Journal of Virological Methods 144(1-2): 161-164.</w:t>
      </w:r>
    </w:p>
    <w:p w14:paraId="45467AF8" w14:textId="77777777" w:rsidR="0037011B" w:rsidRPr="00C75413" w:rsidRDefault="0037011B" w:rsidP="0037011B">
      <w:pPr>
        <w:pStyle w:val="ListParagraph"/>
        <w:numPr>
          <w:ilvl w:val="0"/>
          <w:numId w:val="48"/>
        </w:numPr>
        <w:spacing w:before="240" w:after="160" w:line="276" w:lineRule="auto"/>
      </w:pPr>
      <w:r w:rsidRPr="00C75413">
        <w:t>Dung, T. T. N., et al. (2013). The validation and utility of a quantitative one-step multiplex RT real-time PCR targeting Rotavirus A and Norovirus. Journal of Virological Methods 187(1): 138-143.</w:t>
      </w:r>
    </w:p>
    <w:p w14:paraId="3BE86658" w14:textId="77777777" w:rsidR="0037011B" w:rsidRPr="00C75413" w:rsidRDefault="0037011B" w:rsidP="0037011B">
      <w:pPr>
        <w:pStyle w:val="ListParagraph"/>
        <w:numPr>
          <w:ilvl w:val="0"/>
          <w:numId w:val="48"/>
        </w:numPr>
        <w:spacing w:before="240" w:after="160" w:line="276" w:lineRule="auto"/>
      </w:pPr>
      <w:proofErr w:type="spellStart"/>
      <w:r w:rsidRPr="00C75413">
        <w:t>Geginat</w:t>
      </w:r>
      <w:proofErr w:type="spellEnd"/>
      <w:r w:rsidRPr="00C75413">
        <w:t xml:space="preserve">, G., et al. (2012). Evaluation of third-generation ELISA and a rapid immunochromatographic assay for the detection of norovirus infection in </w:t>
      </w:r>
      <w:proofErr w:type="spellStart"/>
      <w:r w:rsidRPr="00C75413">
        <w:t>fecal</w:t>
      </w:r>
      <w:proofErr w:type="spellEnd"/>
      <w:r w:rsidRPr="00C75413">
        <w:t xml:space="preserve"> samples from inpatients of a German tertiary care hospital. European Journal of Clinical Microbiology and Infectious Diseases 31(5): 733-737.</w:t>
      </w:r>
    </w:p>
    <w:p w14:paraId="5DAB072C" w14:textId="77777777" w:rsidR="0037011B" w:rsidRPr="00C75413" w:rsidRDefault="0037011B" w:rsidP="0037011B">
      <w:pPr>
        <w:pStyle w:val="ListParagraph"/>
        <w:numPr>
          <w:ilvl w:val="0"/>
          <w:numId w:val="48"/>
        </w:numPr>
        <w:spacing w:before="240" w:after="160" w:line="276" w:lineRule="auto"/>
      </w:pPr>
      <w:r w:rsidRPr="00C75413">
        <w:t xml:space="preserve">Gonzalez, G. G., et al. (2006). Evaluation of a commercial enzyme immunoassay for the detection of norovirus antigen in </w:t>
      </w:r>
      <w:proofErr w:type="spellStart"/>
      <w:r w:rsidRPr="00C75413">
        <w:t>fecal</w:t>
      </w:r>
      <w:proofErr w:type="spellEnd"/>
      <w:r w:rsidRPr="00C75413">
        <w:t xml:space="preserve"> samples from children with sporadic acute gastroenteritis. Journal of Virological Methods 136(1-2): 289-291.</w:t>
      </w:r>
    </w:p>
    <w:p w14:paraId="053F0E96" w14:textId="77777777" w:rsidR="0037011B" w:rsidRPr="00C75413" w:rsidRDefault="0037011B" w:rsidP="0037011B">
      <w:pPr>
        <w:pStyle w:val="ListParagraph"/>
        <w:numPr>
          <w:ilvl w:val="0"/>
          <w:numId w:val="48"/>
        </w:numPr>
        <w:spacing w:before="240" w:after="160" w:line="276" w:lineRule="auto"/>
      </w:pPr>
      <w:proofErr w:type="spellStart"/>
      <w:r w:rsidRPr="00C75413">
        <w:t>Kele</w:t>
      </w:r>
      <w:proofErr w:type="spellEnd"/>
      <w:r w:rsidRPr="00C75413">
        <w:t>, B., et al. (2011). Comparison of an ELISA and two reverse transcription polymerase chain reaction methods for norovirus detection. Diagnostic Microbiology and Infectious Disease 70(4): 475-478.</w:t>
      </w:r>
    </w:p>
    <w:p w14:paraId="5F1F3DAC" w14:textId="77777777" w:rsidR="0037011B" w:rsidRPr="00C75413" w:rsidRDefault="0037011B" w:rsidP="0037011B">
      <w:pPr>
        <w:pStyle w:val="ListParagraph"/>
        <w:numPr>
          <w:ilvl w:val="0"/>
          <w:numId w:val="48"/>
        </w:numPr>
        <w:spacing w:before="240" w:after="160" w:line="276" w:lineRule="auto"/>
      </w:pPr>
      <w:proofErr w:type="spellStart"/>
      <w:r w:rsidRPr="00C75413">
        <w:t>Khamrin</w:t>
      </w:r>
      <w:proofErr w:type="spellEnd"/>
      <w:r w:rsidRPr="00C75413">
        <w:t>, P., et al. (2008). Evaluation of immunochromatography and commercial enzyme-linked immunosorbent assay for rapid detection of norovirus antigen in stool samples. Journal of Virological Methods 147(2): 360-363.</w:t>
      </w:r>
    </w:p>
    <w:p w14:paraId="4C8DDDA1" w14:textId="77777777" w:rsidR="0037011B" w:rsidRPr="00C75413" w:rsidRDefault="0037011B" w:rsidP="0037011B">
      <w:pPr>
        <w:pStyle w:val="ListParagraph"/>
        <w:numPr>
          <w:ilvl w:val="0"/>
          <w:numId w:val="48"/>
        </w:numPr>
        <w:spacing w:before="240" w:after="160" w:line="276" w:lineRule="auto"/>
      </w:pPr>
      <w:r w:rsidRPr="00C75413">
        <w:t xml:space="preserve">Sharaf, H. E., et al. (2016). Performance characteristics of enzyme linked immunosorbent assay and rapid immunochromatographic test for routine screening </w:t>
      </w:r>
      <w:r w:rsidRPr="00C75413">
        <w:lastRenderedPageBreak/>
        <w:t>of human norovirus. African Journal of Clinical and Experimental Microbiology 17(3): 205-212.</w:t>
      </w:r>
    </w:p>
    <w:p w14:paraId="797C43C6" w14:textId="77777777" w:rsidR="0037011B" w:rsidRDefault="0037011B" w:rsidP="0037011B">
      <w:pPr>
        <w:pStyle w:val="ListParagraph"/>
        <w:numPr>
          <w:ilvl w:val="0"/>
          <w:numId w:val="48"/>
        </w:numPr>
        <w:spacing w:before="240" w:after="160" w:line="276" w:lineRule="auto"/>
      </w:pPr>
      <w:proofErr w:type="spellStart"/>
      <w:r w:rsidRPr="00C75413">
        <w:t>Wilhelmi</w:t>
      </w:r>
      <w:proofErr w:type="spellEnd"/>
      <w:r w:rsidRPr="00C75413">
        <w:t xml:space="preserve"> de Cal, I., et al. (2007). Evaluation of two commercial enzyme immunoassays for the detection of norovirus in faecal samples from hospitalised children with sporadic acute gastroenteritis. Clinical Microbiology and Infection 13(3): 341-343.</w:t>
      </w:r>
    </w:p>
    <w:p w14:paraId="2F40FE6A" w14:textId="77777777" w:rsidR="0037011B" w:rsidRPr="00C75413" w:rsidRDefault="0037011B" w:rsidP="0037011B">
      <w:pPr>
        <w:pStyle w:val="ListParagraph"/>
        <w:numPr>
          <w:ilvl w:val="0"/>
          <w:numId w:val="48"/>
        </w:numPr>
        <w:spacing w:before="240" w:after="160" w:line="276" w:lineRule="auto"/>
      </w:pPr>
      <w:r w:rsidRPr="00C75413">
        <w:t xml:space="preserve">Kohler H, </w:t>
      </w:r>
      <w:proofErr w:type="spellStart"/>
      <w:r w:rsidRPr="00C75413">
        <w:t>Jungert</w:t>
      </w:r>
      <w:proofErr w:type="spellEnd"/>
      <w:r w:rsidRPr="00C75413">
        <w:t xml:space="preserve"> J and Korn K. Norovirus pseudo-outbreak in a neonatal intensive care unit. J </w:t>
      </w:r>
      <w:proofErr w:type="spellStart"/>
      <w:r w:rsidRPr="00C75413">
        <w:t>Pediatr</w:t>
      </w:r>
      <w:proofErr w:type="spellEnd"/>
      <w:r w:rsidRPr="00C75413">
        <w:t xml:space="preserve"> Gastroenterol </w:t>
      </w:r>
      <w:proofErr w:type="spellStart"/>
      <w:r w:rsidRPr="00C75413">
        <w:t>Nutr</w:t>
      </w:r>
      <w:proofErr w:type="spellEnd"/>
      <w:r w:rsidRPr="00C75413">
        <w:t xml:space="preserve"> 2008; 46: 471–472</w:t>
      </w:r>
    </w:p>
    <w:p w14:paraId="6B6CE92B" w14:textId="77777777" w:rsidR="0037011B" w:rsidRPr="00C75413" w:rsidRDefault="0037011B" w:rsidP="0037011B">
      <w:pPr>
        <w:pStyle w:val="ListParagraph"/>
        <w:numPr>
          <w:ilvl w:val="0"/>
          <w:numId w:val="48"/>
        </w:numPr>
        <w:spacing w:before="240" w:after="160" w:line="276" w:lineRule="auto"/>
      </w:pPr>
      <w:proofErr w:type="spellStart"/>
      <w:r w:rsidRPr="00C75413">
        <w:t>Wiechers</w:t>
      </w:r>
      <w:proofErr w:type="spellEnd"/>
      <w:r w:rsidRPr="00C75413">
        <w:t xml:space="preserve">, C., et al. (2008). Apparently non-specific results found using a norovirus antigen immunoassay for </w:t>
      </w:r>
      <w:proofErr w:type="spellStart"/>
      <w:r w:rsidRPr="00C75413">
        <w:t>fecal</w:t>
      </w:r>
      <w:proofErr w:type="spellEnd"/>
      <w:r w:rsidRPr="00C75413">
        <w:t xml:space="preserve"> specimens from neonates. Journal of Perinatology 28(1): 79-81.</w:t>
      </w:r>
    </w:p>
    <w:p w14:paraId="4C3A0D75" w14:textId="77777777" w:rsidR="0037011B" w:rsidRPr="00C75413" w:rsidRDefault="0037011B" w:rsidP="0037011B">
      <w:pPr>
        <w:pStyle w:val="ListParagraph"/>
        <w:numPr>
          <w:ilvl w:val="0"/>
          <w:numId w:val="48"/>
        </w:numPr>
        <w:spacing w:before="240" w:after="160" w:line="276" w:lineRule="auto"/>
      </w:pPr>
      <w:r w:rsidRPr="00C75413">
        <w:t xml:space="preserve">Bruins MJ, </w:t>
      </w:r>
      <w:proofErr w:type="spellStart"/>
      <w:r w:rsidRPr="00C75413">
        <w:t>Wolfhagen</w:t>
      </w:r>
      <w:proofErr w:type="spellEnd"/>
      <w:r w:rsidRPr="00C75413">
        <w:t xml:space="preserve"> MJ, </w:t>
      </w:r>
      <w:proofErr w:type="spellStart"/>
      <w:r w:rsidRPr="00C75413">
        <w:t>Schirm</w:t>
      </w:r>
      <w:proofErr w:type="spellEnd"/>
      <w:r w:rsidRPr="00C75413">
        <w:t xml:space="preserve"> J, </w:t>
      </w:r>
      <w:proofErr w:type="spellStart"/>
      <w:r w:rsidRPr="00C75413">
        <w:t>Ruijs</w:t>
      </w:r>
      <w:proofErr w:type="spellEnd"/>
      <w:r w:rsidRPr="00C75413">
        <w:t xml:space="preserve"> GJ (2010) Evaluation of a rapid immunochromatographic test for the detection of norovirus in stool samples. </w:t>
      </w:r>
      <w:proofErr w:type="spellStart"/>
      <w:r w:rsidRPr="00C75413">
        <w:t>Eur</w:t>
      </w:r>
      <w:proofErr w:type="spellEnd"/>
      <w:r w:rsidRPr="00C75413">
        <w:t xml:space="preserve"> J Clin </w:t>
      </w:r>
      <w:proofErr w:type="spellStart"/>
      <w:r w:rsidRPr="00C75413">
        <w:t>Microbiol</w:t>
      </w:r>
      <w:proofErr w:type="spellEnd"/>
      <w:r w:rsidRPr="00C75413">
        <w:t xml:space="preserve"> Infect Dis 29 (6):741–743.</w:t>
      </w:r>
    </w:p>
    <w:p w14:paraId="6A231EA3" w14:textId="77777777" w:rsidR="0037011B" w:rsidRPr="00C75413" w:rsidRDefault="0037011B" w:rsidP="0037011B">
      <w:pPr>
        <w:pStyle w:val="ListParagraph"/>
        <w:numPr>
          <w:ilvl w:val="0"/>
          <w:numId w:val="48"/>
        </w:numPr>
        <w:spacing w:before="240" w:after="160" w:line="276" w:lineRule="auto"/>
      </w:pPr>
      <w:r w:rsidRPr="00C75413">
        <w:t>Cleary, O., et al. (2017). Evaluation of the Xpert Norovirus assay for the rapid detection of norovirus genogroups I and II in faecal specimens within a routine laboratory setting. British Journal of Biomedical Science 74(3): 144-147.</w:t>
      </w:r>
    </w:p>
    <w:p w14:paraId="605B4AF3" w14:textId="77777777" w:rsidR="0037011B" w:rsidRPr="00C75413" w:rsidRDefault="0037011B" w:rsidP="0037011B">
      <w:pPr>
        <w:pStyle w:val="ListParagraph"/>
        <w:numPr>
          <w:ilvl w:val="0"/>
          <w:numId w:val="48"/>
        </w:numPr>
        <w:spacing w:before="240" w:after="160" w:line="276" w:lineRule="auto"/>
      </w:pPr>
      <w:proofErr w:type="spellStart"/>
      <w:r w:rsidRPr="00C75413">
        <w:t>Jonckheere</w:t>
      </w:r>
      <w:proofErr w:type="spellEnd"/>
      <w:r w:rsidRPr="00C75413">
        <w:t xml:space="preserve">, S., et al. (2017). </w:t>
      </w:r>
      <w:proofErr w:type="spellStart"/>
      <w:r w:rsidRPr="00C75413">
        <w:t>Multicenter</w:t>
      </w:r>
      <w:proofErr w:type="spellEnd"/>
      <w:r w:rsidRPr="00C75413">
        <w:t xml:space="preserve"> evaluation of the revised RIDA QUICK test (N1402) for rapid detection of norovirus in a diagnostic laboratory setting. Diagnostic Microbiology and Infectious Disease 88(1): 31-35.</w:t>
      </w:r>
    </w:p>
    <w:p w14:paraId="29573029" w14:textId="77777777" w:rsidR="0037011B" w:rsidRPr="00C75413" w:rsidRDefault="0037011B" w:rsidP="0037011B">
      <w:pPr>
        <w:pStyle w:val="ListParagraph"/>
        <w:numPr>
          <w:ilvl w:val="0"/>
          <w:numId w:val="48"/>
        </w:numPr>
        <w:spacing w:before="240" w:after="160" w:line="276" w:lineRule="auto"/>
      </w:pPr>
      <w:proofErr w:type="spellStart"/>
      <w:r w:rsidRPr="00C75413">
        <w:t>Khamrin</w:t>
      </w:r>
      <w:proofErr w:type="spellEnd"/>
      <w:r w:rsidRPr="00C75413">
        <w:t xml:space="preserve">, P., et al. (2009). Immunochromatography test for rapid detection of norovirus in </w:t>
      </w:r>
      <w:proofErr w:type="spellStart"/>
      <w:r w:rsidRPr="00C75413">
        <w:t>fecal</w:t>
      </w:r>
      <w:proofErr w:type="spellEnd"/>
      <w:r w:rsidRPr="00C75413">
        <w:t xml:space="preserve"> specimens. Journal of Virological Methods 157(2): 219-222.</w:t>
      </w:r>
    </w:p>
    <w:p w14:paraId="10DF4D3E" w14:textId="77777777" w:rsidR="0037011B" w:rsidRPr="00C75413" w:rsidRDefault="0037011B" w:rsidP="0037011B">
      <w:pPr>
        <w:pStyle w:val="ListParagraph"/>
        <w:numPr>
          <w:ilvl w:val="0"/>
          <w:numId w:val="48"/>
        </w:numPr>
        <w:spacing w:before="240" w:after="160" w:line="276" w:lineRule="auto"/>
      </w:pPr>
      <w:r w:rsidRPr="00C75413">
        <w:t xml:space="preserve">Nguyen, T. A., et al. (2007). Evaluation of immunochromatography tests for detection of rotavirus and norovirus among Vietnamese children with acute gastroenteritis and the emergence of a novel norovirus GII.4 variant. Journal of Tropical </w:t>
      </w:r>
      <w:proofErr w:type="spellStart"/>
      <w:r w:rsidRPr="00C75413">
        <w:t>Pediatrics</w:t>
      </w:r>
      <w:proofErr w:type="spellEnd"/>
      <w:r w:rsidRPr="00C75413">
        <w:t xml:space="preserve"> 53(4): 264-269.</w:t>
      </w:r>
    </w:p>
    <w:p w14:paraId="61A30DC7" w14:textId="77777777" w:rsidR="0037011B" w:rsidRPr="00C75413" w:rsidRDefault="0037011B" w:rsidP="0037011B">
      <w:pPr>
        <w:pStyle w:val="ListParagraph"/>
        <w:numPr>
          <w:ilvl w:val="0"/>
          <w:numId w:val="48"/>
        </w:numPr>
        <w:spacing w:before="240" w:after="160" w:line="276" w:lineRule="auto"/>
      </w:pPr>
      <w:r w:rsidRPr="00C75413">
        <w:t xml:space="preserve">Park, K. S., et al. (2012). Evaluation of a new immunochromatographic assay kit for the rapid detection of norovirus in </w:t>
      </w:r>
      <w:proofErr w:type="spellStart"/>
      <w:r w:rsidRPr="00C75413">
        <w:t>fecal</w:t>
      </w:r>
      <w:proofErr w:type="spellEnd"/>
      <w:r w:rsidRPr="00C75413">
        <w:t xml:space="preserve"> specimens. Annals of Laboratory Medicine 32(1): 79-81.</w:t>
      </w:r>
    </w:p>
    <w:p w14:paraId="4754655B" w14:textId="77777777" w:rsidR="0037011B" w:rsidRPr="00C75413" w:rsidRDefault="0037011B" w:rsidP="0037011B">
      <w:pPr>
        <w:pStyle w:val="ListParagraph"/>
        <w:numPr>
          <w:ilvl w:val="0"/>
          <w:numId w:val="48"/>
        </w:numPr>
        <w:spacing w:before="240" w:after="160" w:line="276" w:lineRule="auto"/>
      </w:pPr>
      <w:proofErr w:type="spellStart"/>
      <w:r w:rsidRPr="00C75413">
        <w:t>Pombubpa</w:t>
      </w:r>
      <w:proofErr w:type="spellEnd"/>
      <w:r w:rsidRPr="00C75413">
        <w:t xml:space="preserve"> K, </w:t>
      </w:r>
      <w:proofErr w:type="spellStart"/>
      <w:r w:rsidRPr="00C75413">
        <w:t>Kittigul</w:t>
      </w:r>
      <w:proofErr w:type="spellEnd"/>
      <w:r w:rsidRPr="00C75413">
        <w:t xml:space="preserve"> L. Assessment of a rapid immunochromatographic test for diagnosis of norovirus gastroenteritis. </w:t>
      </w:r>
      <w:proofErr w:type="spellStart"/>
      <w:r w:rsidRPr="00C75413">
        <w:t>Eur</w:t>
      </w:r>
      <w:proofErr w:type="spellEnd"/>
      <w:r w:rsidRPr="00C75413">
        <w:t xml:space="preserve"> J Clin </w:t>
      </w:r>
      <w:proofErr w:type="spellStart"/>
      <w:r w:rsidRPr="00C75413">
        <w:t>Microbiol</w:t>
      </w:r>
      <w:proofErr w:type="spellEnd"/>
      <w:r w:rsidRPr="00C75413">
        <w:t xml:space="preserve"> Infect Dis 2012;31:2379–83</w:t>
      </w:r>
    </w:p>
    <w:p w14:paraId="0BC13AA4" w14:textId="77777777" w:rsidR="0037011B" w:rsidRPr="00C75413" w:rsidRDefault="0037011B" w:rsidP="0037011B">
      <w:pPr>
        <w:pStyle w:val="ListParagraph"/>
        <w:numPr>
          <w:ilvl w:val="0"/>
          <w:numId w:val="48"/>
        </w:numPr>
        <w:spacing w:before="240" w:after="160" w:line="276" w:lineRule="auto"/>
      </w:pPr>
      <w:proofErr w:type="spellStart"/>
      <w:r w:rsidRPr="00C75413">
        <w:t>Thongprachum</w:t>
      </w:r>
      <w:proofErr w:type="spellEnd"/>
      <w:r w:rsidRPr="00C75413">
        <w:t>, A., et al. (2010). Evaluation of an immunochromatography method for rapid detection of noroviruses in clinical specimens in Thailand. Journal of Medical Virology 82(12): 2106-2109.</w:t>
      </w:r>
    </w:p>
    <w:p w14:paraId="0EF34C3F" w14:textId="77777777" w:rsidR="0037011B" w:rsidRPr="00C75413" w:rsidRDefault="0037011B" w:rsidP="0037011B">
      <w:pPr>
        <w:pStyle w:val="ListParagraph"/>
        <w:numPr>
          <w:ilvl w:val="0"/>
          <w:numId w:val="48"/>
        </w:numPr>
        <w:spacing w:before="240" w:after="160" w:line="276" w:lineRule="auto"/>
      </w:pPr>
      <w:r w:rsidRPr="00C75413">
        <w:t xml:space="preserve">Kas, M. P., et al. (2013). Evaluation of a rapid immunochromatographic assay for the detection of rotavirus, norovirus and adenovirus from children hospitalized with acute watery </w:t>
      </w:r>
      <w:proofErr w:type="spellStart"/>
      <w:r w:rsidRPr="00C75413">
        <w:t>diarrhea</w:t>
      </w:r>
      <w:proofErr w:type="spellEnd"/>
      <w:r w:rsidRPr="00C75413">
        <w:t>. Papua and New Guinea medical journal 56(3-4): 141-144.</w:t>
      </w:r>
    </w:p>
    <w:p w14:paraId="26C0B5E0" w14:textId="77777777" w:rsidR="0037011B" w:rsidRPr="00C75413" w:rsidRDefault="0037011B" w:rsidP="0037011B">
      <w:pPr>
        <w:pStyle w:val="ListParagraph"/>
        <w:numPr>
          <w:ilvl w:val="0"/>
          <w:numId w:val="48"/>
        </w:numPr>
        <w:spacing w:before="240" w:after="160" w:line="276" w:lineRule="auto"/>
      </w:pPr>
      <w:proofErr w:type="spellStart"/>
      <w:r w:rsidRPr="00C75413">
        <w:t>Khamrin</w:t>
      </w:r>
      <w:proofErr w:type="spellEnd"/>
      <w:r w:rsidRPr="00C75413">
        <w:t xml:space="preserve">, P., et al. (2010). Evaluation of the newly developed immunochromatography test kit for rapid detection and differentiation of norovirus GI and GII. Journal of Tropical </w:t>
      </w:r>
      <w:proofErr w:type="spellStart"/>
      <w:r w:rsidRPr="00C75413">
        <w:t>Pediatrics</w:t>
      </w:r>
      <w:proofErr w:type="spellEnd"/>
      <w:r w:rsidRPr="00C75413">
        <w:t xml:space="preserve"> 56(5): 368-369.</w:t>
      </w:r>
    </w:p>
    <w:p w14:paraId="4A0E1390" w14:textId="77777777" w:rsidR="0037011B" w:rsidRPr="00C75413" w:rsidRDefault="0037011B" w:rsidP="0037011B">
      <w:pPr>
        <w:pStyle w:val="ListParagraph"/>
        <w:numPr>
          <w:ilvl w:val="0"/>
          <w:numId w:val="48"/>
        </w:numPr>
        <w:spacing w:before="240" w:after="160" w:line="276" w:lineRule="auto"/>
      </w:pPr>
      <w:proofErr w:type="spellStart"/>
      <w:r w:rsidRPr="00C75413">
        <w:lastRenderedPageBreak/>
        <w:t>Thangjui</w:t>
      </w:r>
      <w:proofErr w:type="spellEnd"/>
      <w:r w:rsidRPr="00C75413">
        <w:t>, S., et al. (2020). Accuracy and cross-reactivity of rapid diagnostic tests for norovirus and rotavirus in a real clinical setting. Infection and Chemotherapy 52(3): 360-368.</w:t>
      </w:r>
    </w:p>
    <w:p w14:paraId="19115634" w14:textId="77777777" w:rsidR="0037011B" w:rsidRPr="00C75413" w:rsidRDefault="0037011B" w:rsidP="0037011B">
      <w:pPr>
        <w:pStyle w:val="ListParagraph"/>
        <w:numPr>
          <w:ilvl w:val="0"/>
          <w:numId w:val="48"/>
        </w:numPr>
        <w:spacing w:before="240" w:after="160" w:line="276" w:lineRule="auto"/>
      </w:pPr>
      <w:proofErr w:type="spellStart"/>
      <w:r w:rsidRPr="00C75413">
        <w:t>Niizuma</w:t>
      </w:r>
      <w:proofErr w:type="spellEnd"/>
      <w:r w:rsidRPr="00C75413">
        <w:t xml:space="preserve">, T., et al. (2013). False positive of an immunochromatography kit for detection of norovirus in neonatal </w:t>
      </w:r>
      <w:proofErr w:type="spellStart"/>
      <w:r w:rsidRPr="00C75413">
        <w:t>feces</w:t>
      </w:r>
      <w:proofErr w:type="spellEnd"/>
      <w:r w:rsidRPr="00C75413">
        <w:t>. Journal of Infection and Chemotherapy 19(1): 171-173.</w:t>
      </w:r>
    </w:p>
    <w:p w14:paraId="4924C907" w14:textId="77777777" w:rsidR="0037011B" w:rsidRPr="00C75413" w:rsidRDefault="0037011B" w:rsidP="0037011B">
      <w:pPr>
        <w:pStyle w:val="ListParagraph"/>
        <w:numPr>
          <w:ilvl w:val="0"/>
          <w:numId w:val="48"/>
        </w:numPr>
        <w:spacing w:before="240" w:after="160" w:line="276" w:lineRule="auto"/>
      </w:pPr>
      <w:r w:rsidRPr="00C75413">
        <w:t>Jiang, Y., et al. (2014). Simultaneous detection of five enteric viruses associated with gastroenteritis by use of a PCR assay: A single real-time multiplex reaction and its clinical application. Journal of Clinical Microbiology 52(4): 1266-1268.</w:t>
      </w:r>
    </w:p>
    <w:p w14:paraId="2340FDF7" w14:textId="77777777" w:rsidR="0037011B" w:rsidRPr="00C75413" w:rsidRDefault="0037011B" w:rsidP="0037011B">
      <w:pPr>
        <w:pStyle w:val="ListParagraph"/>
        <w:numPr>
          <w:ilvl w:val="0"/>
          <w:numId w:val="48"/>
        </w:numPr>
        <w:spacing w:before="240" w:after="160" w:line="276" w:lineRule="auto"/>
      </w:pPr>
      <w:r w:rsidRPr="00C75413">
        <w:t xml:space="preserve">Liu Y, Xu ZQ, Zhang Q, </w:t>
      </w:r>
      <w:proofErr w:type="spellStart"/>
      <w:r w:rsidRPr="00C75413">
        <w:t>Jin</w:t>
      </w:r>
      <w:proofErr w:type="spellEnd"/>
      <w:r w:rsidRPr="00C75413">
        <w:t xml:space="preserve"> M, Yu JM, Li JS, Liu N, Cui SX, Kong XY, Wang H, Li HY, Cheng WX, Ma XJ, Duan ZJ. 2012. Simultaneous detection of seven enteric viruses associated with acute gastroenteritis by a multiplexed Luminex-based assay. J. Clin. </w:t>
      </w:r>
      <w:proofErr w:type="spellStart"/>
      <w:r w:rsidRPr="00C75413">
        <w:t>Microbiol</w:t>
      </w:r>
      <w:proofErr w:type="spellEnd"/>
      <w:r w:rsidRPr="00C75413">
        <w:t>. 50:2384–2389</w:t>
      </w:r>
    </w:p>
    <w:p w14:paraId="0F5BC034" w14:textId="77777777" w:rsidR="0037011B" w:rsidRPr="00C75413" w:rsidRDefault="0037011B" w:rsidP="0037011B">
      <w:pPr>
        <w:pStyle w:val="ListParagraph"/>
        <w:numPr>
          <w:ilvl w:val="0"/>
          <w:numId w:val="48"/>
        </w:numPr>
        <w:spacing w:before="240" w:after="160" w:line="276" w:lineRule="auto"/>
      </w:pPr>
      <w:r w:rsidRPr="00C75413">
        <w:t xml:space="preserve">Navidad, J. F., Griswold, D. J., Gradus, M. S. &amp; Bhattacharyya, S. Evaluation of Luminex </w:t>
      </w:r>
      <w:proofErr w:type="spellStart"/>
      <w:r w:rsidRPr="00C75413">
        <w:t>xTAG</w:t>
      </w:r>
      <w:proofErr w:type="spellEnd"/>
      <w:r w:rsidRPr="00C75413">
        <w:t xml:space="preserve"> gastrointestinal pathogen </w:t>
      </w:r>
      <w:proofErr w:type="spellStart"/>
      <w:r w:rsidRPr="00C75413">
        <w:t>analytespecific</w:t>
      </w:r>
      <w:proofErr w:type="spellEnd"/>
      <w:r w:rsidRPr="00C75413">
        <w:t xml:space="preserve"> reagents for high-throughput, simultaneous detection of bacteria, viruses, and parasites of clinical and public health importance. J. Clin. </w:t>
      </w:r>
      <w:proofErr w:type="spellStart"/>
      <w:r w:rsidRPr="00C75413">
        <w:t>Microbiol</w:t>
      </w:r>
      <w:proofErr w:type="spellEnd"/>
      <w:r w:rsidRPr="00C75413">
        <w:t>. 51, 3018–3024 (2013).</w:t>
      </w:r>
    </w:p>
    <w:p w14:paraId="4DE94BB4" w14:textId="77777777" w:rsidR="0037011B" w:rsidRPr="00C75413" w:rsidRDefault="0037011B" w:rsidP="0037011B">
      <w:pPr>
        <w:pStyle w:val="ListParagraph"/>
        <w:numPr>
          <w:ilvl w:val="0"/>
          <w:numId w:val="48"/>
        </w:numPr>
        <w:spacing w:before="240" w:after="160" w:line="276" w:lineRule="auto"/>
      </w:pPr>
      <w:r w:rsidRPr="00C75413">
        <w:t xml:space="preserve">Stokes, W., et al. (2019). </w:t>
      </w:r>
      <w:proofErr w:type="spellStart"/>
      <w:r w:rsidRPr="00C75413">
        <w:t>Multicenter</w:t>
      </w:r>
      <w:proofErr w:type="spellEnd"/>
      <w:r w:rsidRPr="00C75413">
        <w:t xml:space="preserve"> clinical validation of the molecular BD max enteric viral panel for detection of enteric pathogens. Journal of Clinical Microbiology 57(9): e00306-00319.</w:t>
      </w:r>
    </w:p>
    <w:p w14:paraId="0A0A16CE" w14:textId="77777777" w:rsidR="0037011B" w:rsidRPr="00C75413" w:rsidRDefault="0037011B" w:rsidP="0037011B">
      <w:pPr>
        <w:pStyle w:val="ListParagraph"/>
        <w:numPr>
          <w:ilvl w:val="0"/>
          <w:numId w:val="48"/>
        </w:numPr>
        <w:spacing w:before="240" w:after="160" w:line="276" w:lineRule="auto"/>
      </w:pPr>
      <w:r w:rsidRPr="00C75413">
        <w:t xml:space="preserve">Albert M, J, Rotimi V, O, Iqbal J, </w:t>
      </w:r>
      <w:proofErr w:type="spellStart"/>
      <w:r w:rsidRPr="00C75413">
        <w:t>Chehadeh</w:t>
      </w:r>
      <w:proofErr w:type="spellEnd"/>
      <w:r w:rsidRPr="00C75413">
        <w:t xml:space="preserve"> W: Evaluation of the </w:t>
      </w:r>
      <w:proofErr w:type="spellStart"/>
      <w:r w:rsidRPr="00C75413">
        <w:t>xTAG</w:t>
      </w:r>
      <w:proofErr w:type="spellEnd"/>
      <w:r w:rsidRPr="00C75413">
        <w:t xml:space="preserve"> Gastrointestinal Pathogen Panel Assay for the Detection of Enteric Pathogens in Kuwait. Med </w:t>
      </w:r>
      <w:proofErr w:type="spellStart"/>
      <w:r w:rsidRPr="00C75413">
        <w:t>Princ</w:t>
      </w:r>
      <w:proofErr w:type="spellEnd"/>
      <w:r w:rsidRPr="00C75413">
        <w:t xml:space="preserve"> </w:t>
      </w:r>
      <w:proofErr w:type="spellStart"/>
      <w:r w:rsidRPr="00C75413">
        <w:t>Pract</w:t>
      </w:r>
      <w:proofErr w:type="spellEnd"/>
      <w:r w:rsidRPr="00C75413">
        <w:t xml:space="preserve"> 2016;25:472-476.</w:t>
      </w:r>
    </w:p>
    <w:p w14:paraId="40198B38" w14:textId="77777777" w:rsidR="0037011B" w:rsidRPr="00C75413" w:rsidRDefault="0037011B" w:rsidP="0037011B">
      <w:pPr>
        <w:pStyle w:val="ListParagraph"/>
        <w:numPr>
          <w:ilvl w:val="0"/>
          <w:numId w:val="48"/>
        </w:numPr>
        <w:spacing w:before="240" w:after="160" w:line="276" w:lineRule="auto"/>
      </w:pPr>
      <w:r w:rsidRPr="00C75413">
        <w:t xml:space="preserve">Huang SH, Lin YF, Tsai MH, Yang S, Liao ML, Chao SW, et al. Detection of common </w:t>
      </w:r>
      <w:proofErr w:type="spellStart"/>
      <w:r w:rsidRPr="00C75413">
        <w:t>diarrhea</w:t>
      </w:r>
      <w:proofErr w:type="spellEnd"/>
      <w:r w:rsidRPr="00C75413">
        <w:t>-causing pathogens in Northern Taiwan by multiplex polymerase chain reaction. Medicine 2018; 97(23)e11006</w:t>
      </w:r>
    </w:p>
    <w:p w14:paraId="2EFEA788" w14:textId="77777777" w:rsidR="0037011B" w:rsidRPr="00C75413" w:rsidRDefault="0037011B" w:rsidP="0037011B">
      <w:pPr>
        <w:pStyle w:val="ListParagraph"/>
        <w:numPr>
          <w:ilvl w:val="0"/>
          <w:numId w:val="48"/>
        </w:numPr>
        <w:spacing w:before="240" w:after="160" w:line="276" w:lineRule="auto"/>
      </w:pPr>
      <w:r w:rsidRPr="00C75413">
        <w:t>Dewar, S., et al. (2019). Point-of-care testing by healthcare workers for detection of meticillin-resistant Staphylococcus aureus, Clostridioides difficile, and norovirus. Journal of Hospital Infection 103(4): 447-453.</w:t>
      </w:r>
    </w:p>
    <w:p w14:paraId="7A6DCB1E" w14:textId="77777777" w:rsidR="0037011B" w:rsidRDefault="0037011B" w:rsidP="0037011B">
      <w:pPr>
        <w:pStyle w:val="ListParagraph"/>
        <w:numPr>
          <w:ilvl w:val="0"/>
          <w:numId w:val="48"/>
        </w:numPr>
        <w:spacing w:before="240" w:after="160" w:line="276" w:lineRule="auto"/>
      </w:pPr>
      <w:proofErr w:type="spellStart"/>
      <w:r>
        <w:t>Schotte</w:t>
      </w:r>
      <w:proofErr w:type="spellEnd"/>
      <w:r>
        <w:t>, U., et al. (2021). Study of enteric pathogens among children in the tropics and effects of prolonged storage of stool samples. Letters in applied microbiology 72(6): 774-782.</w:t>
      </w:r>
    </w:p>
    <w:p w14:paraId="61163F5F" w14:textId="77777777" w:rsidR="0037011B" w:rsidRDefault="0037011B" w:rsidP="0037011B">
      <w:pPr>
        <w:pStyle w:val="ListParagraph"/>
        <w:numPr>
          <w:ilvl w:val="0"/>
          <w:numId w:val="48"/>
        </w:numPr>
        <w:spacing w:before="240" w:after="160" w:line="276" w:lineRule="auto"/>
      </w:pPr>
      <w:proofErr w:type="spellStart"/>
      <w:r>
        <w:t>Silbert</w:t>
      </w:r>
      <w:proofErr w:type="spellEnd"/>
      <w:r>
        <w:t xml:space="preserve">, S., et al. (2017). Evaluation of the new </w:t>
      </w:r>
      <w:proofErr w:type="spellStart"/>
      <w:r>
        <w:t>fecalswab</w:t>
      </w:r>
      <w:proofErr w:type="spellEnd"/>
      <w:r>
        <w:t xml:space="preserve"> system for maintaining stability of stool samples submitted for molecular tests. Journal of Clinical Microbiology 55(5): 1588-1590.</w:t>
      </w:r>
    </w:p>
    <w:p w14:paraId="2D8A1AEC" w14:textId="77777777" w:rsidR="0037011B" w:rsidRDefault="0037011B" w:rsidP="0037011B">
      <w:pPr>
        <w:pStyle w:val="ListParagraph"/>
        <w:numPr>
          <w:ilvl w:val="0"/>
          <w:numId w:val="48"/>
        </w:numPr>
        <w:spacing w:before="240" w:after="160" w:line="276" w:lineRule="auto"/>
      </w:pPr>
      <w:r w:rsidRPr="006D5AF1">
        <w:t>Cannon, J. L., et al. (2019). Impact of long-term storage of clinical samples collected from 1996 to 2017 on RT-PCR detection of norovirus. Journal of Virological Methods 267: 35-41.</w:t>
      </w:r>
    </w:p>
    <w:p w14:paraId="2637896E" w14:textId="77777777" w:rsidR="0037011B" w:rsidRDefault="0037011B" w:rsidP="0037011B">
      <w:pPr>
        <w:pStyle w:val="ListParagraph"/>
        <w:numPr>
          <w:ilvl w:val="0"/>
          <w:numId w:val="48"/>
        </w:numPr>
        <w:spacing w:before="240" w:after="160" w:line="276" w:lineRule="auto"/>
      </w:pPr>
      <w:r>
        <w:t>Arvelo, W., et al. (2013). Diagnostic performance of rectal swab versus bulk stool specimens for the detection of rotavirus and norovirus: Implications for outbreak investigations. Journal of Clinical Virology 58(4): 678-682.</w:t>
      </w:r>
    </w:p>
    <w:p w14:paraId="3BA0158E" w14:textId="77777777" w:rsidR="0037011B" w:rsidRDefault="0037011B" w:rsidP="0037011B">
      <w:pPr>
        <w:pStyle w:val="ListParagraph"/>
        <w:numPr>
          <w:ilvl w:val="0"/>
          <w:numId w:val="48"/>
        </w:numPr>
        <w:spacing w:before="240" w:after="160" w:line="276" w:lineRule="auto"/>
      </w:pPr>
      <w:r>
        <w:lastRenderedPageBreak/>
        <w:t xml:space="preserve">Freedman, S. B., et al. (2017). </w:t>
      </w:r>
      <w:proofErr w:type="spellStart"/>
      <w:r>
        <w:t>Enteropathogen</w:t>
      </w:r>
      <w:proofErr w:type="spellEnd"/>
      <w:r>
        <w:t xml:space="preserve"> detection in children with diarrhoea, or vomiting, or both, comparing rectal flocked swabs with stool specimens: an outpatient cohort study. The Lancet Gastroenterology and Hepatology 2(9): 662-669.</w:t>
      </w:r>
    </w:p>
    <w:p w14:paraId="0767C533" w14:textId="77777777" w:rsidR="0037011B" w:rsidRDefault="0037011B" w:rsidP="0037011B">
      <w:pPr>
        <w:pStyle w:val="ListParagraph"/>
        <w:numPr>
          <w:ilvl w:val="0"/>
          <w:numId w:val="48"/>
        </w:numPr>
        <w:spacing w:before="240" w:after="160" w:line="276" w:lineRule="auto"/>
      </w:pPr>
      <w:r>
        <w:t xml:space="preserve">Goldfarb DM, </w:t>
      </w:r>
      <w:proofErr w:type="spellStart"/>
      <w:r>
        <w:t>Steenhoff</w:t>
      </w:r>
      <w:proofErr w:type="spellEnd"/>
      <w:r>
        <w:t xml:space="preserve"> AP, </w:t>
      </w:r>
      <w:proofErr w:type="spellStart"/>
      <w:r>
        <w:t>Pernica</w:t>
      </w:r>
      <w:proofErr w:type="spellEnd"/>
      <w:r>
        <w:t xml:space="preserve"> JM, Chong S, </w:t>
      </w:r>
      <w:proofErr w:type="spellStart"/>
      <w:r>
        <w:t>Luinstra</w:t>
      </w:r>
      <w:proofErr w:type="spellEnd"/>
      <w:r>
        <w:t xml:space="preserve"> K, </w:t>
      </w:r>
      <w:proofErr w:type="spellStart"/>
      <w:r>
        <w:t>Mokomane</w:t>
      </w:r>
      <w:proofErr w:type="spellEnd"/>
      <w:r>
        <w:t xml:space="preserve"> M, </w:t>
      </w:r>
      <w:proofErr w:type="spellStart"/>
      <w:r>
        <w:t>Mazhani</w:t>
      </w:r>
      <w:proofErr w:type="spellEnd"/>
      <w:r>
        <w:t xml:space="preserve"> L, Quaye I, </w:t>
      </w:r>
      <w:proofErr w:type="spellStart"/>
      <w:r>
        <w:t>Goercke</w:t>
      </w:r>
      <w:proofErr w:type="spellEnd"/>
      <w:r>
        <w:t xml:space="preserve"> I, Mahony J, </w:t>
      </w:r>
      <w:proofErr w:type="spellStart"/>
      <w:r>
        <w:t>Smieja</w:t>
      </w:r>
      <w:proofErr w:type="spellEnd"/>
      <w:r>
        <w:t xml:space="preserve"> M. Evaluation of anatomically designed flocked rectal swabs for molecular detection of enteric pathogens in children admitted to hospital with severe gastroenteritis in Botswana. J Clin </w:t>
      </w:r>
      <w:proofErr w:type="spellStart"/>
      <w:r>
        <w:t>Microbiol</w:t>
      </w:r>
      <w:proofErr w:type="spellEnd"/>
      <w:r>
        <w:t>. 2014 Nov;52(11):3922-7</w:t>
      </w:r>
    </w:p>
    <w:p w14:paraId="3304FC7C" w14:textId="77777777" w:rsidR="0037011B" w:rsidRDefault="0037011B" w:rsidP="0037011B">
      <w:pPr>
        <w:pStyle w:val="ListParagraph"/>
        <w:numPr>
          <w:ilvl w:val="0"/>
          <w:numId w:val="48"/>
        </w:numPr>
        <w:spacing w:before="240" w:after="160" w:line="276" w:lineRule="auto"/>
      </w:pPr>
      <w:r>
        <w:t>Gustavsson, L., et al. (2011). Rectal swabs can be used for diagnosis of viral gastroenteritis with a multiple real-time PCR assay. Journal of Clinical Virology 51(4): 275-278.</w:t>
      </w:r>
    </w:p>
    <w:p w14:paraId="6156FB69" w14:textId="77777777" w:rsidR="0037011B" w:rsidRDefault="0037011B" w:rsidP="0037011B">
      <w:pPr>
        <w:pStyle w:val="ListParagraph"/>
        <w:numPr>
          <w:ilvl w:val="0"/>
          <w:numId w:val="48"/>
        </w:numPr>
        <w:spacing w:before="240" w:after="160" w:line="276" w:lineRule="auto"/>
      </w:pPr>
      <w:proofErr w:type="spellStart"/>
      <w:r>
        <w:t>Kabayiza</w:t>
      </w:r>
      <w:proofErr w:type="spellEnd"/>
      <w:r>
        <w:t>, J. C., et al. (2013). Comparison of rectal swabs and faeces for real-time PCR detection of enteric agents in Rwandan children with gastroenteritis. BMC Infectious Diseases 13(1): 447.</w:t>
      </w:r>
    </w:p>
    <w:p w14:paraId="60F7C73B" w14:textId="77777777" w:rsidR="0037011B" w:rsidRDefault="0037011B" w:rsidP="0037011B">
      <w:pPr>
        <w:pStyle w:val="ListParagraph"/>
        <w:numPr>
          <w:ilvl w:val="0"/>
          <w:numId w:val="48"/>
        </w:numPr>
        <w:spacing w:before="240" w:after="160" w:line="276" w:lineRule="auto"/>
      </w:pPr>
      <w:proofErr w:type="spellStart"/>
      <w:r>
        <w:t>Kotar</w:t>
      </w:r>
      <w:proofErr w:type="spellEnd"/>
      <w:r>
        <w:t>, T., et al. (2019). Evaluation of rectal swab use for the determination of enteric pathogens: a prospective study of diarrhoea in adults. Clinical Microbiology and Infection 25(6): 733-738.</w:t>
      </w:r>
    </w:p>
    <w:p w14:paraId="1CA30557" w14:textId="77777777" w:rsidR="0037011B" w:rsidRDefault="0037011B" w:rsidP="0037011B">
      <w:pPr>
        <w:pStyle w:val="ListParagraph"/>
        <w:numPr>
          <w:ilvl w:val="0"/>
          <w:numId w:val="48"/>
        </w:numPr>
        <w:spacing w:before="240" w:after="160" w:line="276" w:lineRule="auto"/>
      </w:pPr>
      <w:proofErr w:type="spellStart"/>
      <w:r>
        <w:t>Sidler</w:t>
      </w:r>
      <w:proofErr w:type="spellEnd"/>
      <w:r>
        <w:t>, J. A., et al. (2014). Rectal swab for detection of norovirus by real-time PCR: Similar sensitivity compared to faecal specimens. Clinical Microbiology and Infection 20(12): O1017-O1019.</w:t>
      </w:r>
    </w:p>
    <w:p w14:paraId="3510AB74" w14:textId="77777777" w:rsidR="0037011B" w:rsidRDefault="0037011B" w:rsidP="0037011B">
      <w:pPr>
        <w:pStyle w:val="ListParagraph"/>
        <w:numPr>
          <w:ilvl w:val="0"/>
          <w:numId w:val="48"/>
        </w:numPr>
        <w:spacing w:before="240" w:after="160" w:line="276" w:lineRule="auto"/>
      </w:pPr>
      <w:r>
        <w:t>Kirby, A., et al. (2011). Detection of norovirus infection in the hospital setting using vomit samples. Journal of Clinical Virology 51(1): 86-87.</w:t>
      </w:r>
    </w:p>
    <w:p w14:paraId="5B8E5A9B" w14:textId="77777777" w:rsidR="0037011B" w:rsidRDefault="0037011B" w:rsidP="0037011B">
      <w:pPr>
        <w:pStyle w:val="ListParagraph"/>
        <w:numPr>
          <w:ilvl w:val="0"/>
          <w:numId w:val="48"/>
        </w:numPr>
        <w:spacing w:before="240" w:after="160" w:line="276" w:lineRule="auto"/>
      </w:pPr>
      <w:proofErr w:type="spellStart"/>
      <w:r>
        <w:t>Anfruns</w:t>
      </w:r>
      <w:proofErr w:type="spellEnd"/>
      <w:r>
        <w:t>-Estrada, E., et al. (2020). Detection of Norovirus in Saliva Samples from Acute Gastroenteritis Cases and Asymptomatic Subjects: Association with Age and Higher Shedding in Stool. Viruses 12(12).</w:t>
      </w:r>
    </w:p>
    <w:p w14:paraId="7F36C180" w14:textId="77777777" w:rsidR="0037011B" w:rsidRDefault="0037011B" w:rsidP="0037011B">
      <w:pPr>
        <w:pStyle w:val="ListParagraph"/>
        <w:numPr>
          <w:ilvl w:val="0"/>
          <w:numId w:val="48"/>
        </w:numPr>
        <w:spacing w:before="240" w:after="160" w:line="276" w:lineRule="auto"/>
      </w:pPr>
      <w:r>
        <w:t>Kirby, A., et al. (2010). Detection of norovirus in mouthwash samples from patients with acute gastroenteritis. Journal of Clinical Virology 48(4): 285-287.</w:t>
      </w:r>
    </w:p>
    <w:p w14:paraId="72AA397E" w14:textId="77777777" w:rsidR="0037011B" w:rsidRDefault="0037011B" w:rsidP="0037011B">
      <w:pPr>
        <w:pStyle w:val="ListParagraph"/>
        <w:numPr>
          <w:ilvl w:val="0"/>
          <w:numId w:val="48"/>
        </w:numPr>
        <w:spacing w:before="240" w:after="160" w:line="276" w:lineRule="auto"/>
      </w:pPr>
      <w:proofErr w:type="spellStart"/>
      <w:r>
        <w:t>Reymao</w:t>
      </w:r>
      <w:proofErr w:type="spellEnd"/>
      <w:r>
        <w:t xml:space="preserve">, T. K. A., et al. (2018). Norovirus RNA in serum associated with increased </w:t>
      </w:r>
      <w:proofErr w:type="spellStart"/>
      <w:r>
        <w:t>fecal</w:t>
      </w:r>
      <w:proofErr w:type="spellEnd"/>
      <w:r>
        <w:t xml:space="preserve"> viral load in children: Detection, quantification and molecular analysis. </w:t>
      </w:r>
      <w:proofErr w:type="spellStart"/>
      <w:r>
        <w:t>PLoS</w:t>
      </w:r>
      <w:proofErr w:type="spellEnd"/>
      <w:r>
        <w:t xml:space="preserve"> ONE 13(7): e0199763.</w:t>
      </w:r>
    </w:p>
    <w:p w14:paraId="076C897E" w14:textId="77777777" w:rsidR="0037011B" w:rsidRPr="009A61ED" w:rsidRDefault="0037011B" w:rsidP="0037011B">
      <w:pPr>
        <w:pStyle w:val="ListParagraph"/>
        <w:numPr>
          <w:ilvl w:val="0"/>
          <w:numId w:val="48"/>
        </w:numPr>
        <w:spacing w:before="240" w:after="160" w:line="276" w:lineRule="auto"/>
      </w:pPr>
      <w:proofErr w:type="spellStart"/>
      <w:r w:rsidRPr="004E06A9">
        <w:t>Haill</w:t>
      </w:r>
      <w:proofErr w:type="spellEnd"/>
      <w:r w:rsidRPr="004E06A9">
        <w:t>, C. F., et al. (2012). Compartmentalization of wards to cohort symptomatic patients at the beginning and end of norovirus outbreaks. Journal of Hospital Infection 82(1): 30-35.</w:t>
      </w:r>
    </w:p>
    <w:p w14:paraId="69E35DD8" w14:textId="77777777" w:rsidR="0037011B" w:rsidRPr="009A61ED" w:rsidRDefault="0037011B" w:rsidP="0037011B">
      <w:pPr>
        <w:pStyle w:val="ListParagraph"/>
        <w:numPr>
          <w:ilvl w:val="0"/>
          <w:numId w:val="48"/>
        </w:numPr>
        <w:spacing w:before="240" w:after="160" w:line="276" w:lineRule="auto"/>
      </w:pPr>
      <w:r w:rsidRPr="004E06A9">
        <w:t>Harris, J. P., et al. (2014). To close or not to close? Analysis of 4 year's data from national surveillance of norovirus outbreaks in hospitals in England. BMJ Open 4(1): e003919.</w:t>
      </w:r>
    </w:p>
    <w:p w14:paraId="529414B7" w14:textId="77777777" w:rsidR="0037011B" w:rsidRDefault="0037011B" w:rsidP="0037011B">
      <w:pPr>
        <w:pStyle w:val="ListParagraph"/>
        <w:numPr>
          <w:ilvl w:val="0"/>
          <w:numId w:val="48"/>
        </w:numPr>
        <w:spacing w:before="240" w:after="160" w:line="276" w:lineRule="auto"/>
      </w:pPr>
      <w:r>
        <w:t>Cooper, E. and S. Blamey (2005). A norovirus gastroenteritis epidemic in a long-term-care facility. Infection Control and Hospital Epidemiology 26(3): 256-258.</w:t>
      </w:r>
    </w:p>
    <w:p w14:paraId="15EB83E1" w14:textId="77777777" w:rsidR="0037011B" w:rsidRDefault="0037011B" w:rsidP="0037011B">
      <w:pPr>
        <w:pStyle w:val="ListParagraph"/>
        <w:numPr>
          <w:ilvl w:val="0"/>
          <w:numId w:val="48"/>
        </w:numPr>
        <w:spacing w:before="240" w:after="160" w:line="276" w:lineRule="auto"/>
      </w:pPr>
      <w:r w:rsidRPr="004E06A9">
        <w:t>Chadwick, P. R. and R. McCann (1994). Transmission of a small round structured virus by vomiting during a hospital outbreak of gastroenteritis. The Journal of hospital infection 26(4): 251-259.</w:t>
      </w:r>
    </w:p>
    <w:p w14:paraId="072F0896" w14:textId="77777777" w:rsidR="0037011B" w:rsidRDefault="0037011B" w:rsidP="0037011B">
      <w:pPr>
        <w:pStyle w:val="ListParagraph"/>
        <w:numPr>
          <w:ilvl w:val="0"/>
          <w:numId w:val="48"/>
        </w:numPr>
        <w:spacing w:before="240" w:after="160" w:line="276" w:lineRule="auto"/>
      </w:pPr>
      <w:r>
        <w:lastRenderedPageBreak/>
        <w:t>Cooper, T., et al. (2011). A major outbreak of Norovirus in an acute NHS hospital in 2010: A practical management approach. Journal of Infection Prevention 12(3): 111-118.</w:t>
      </w:r>
    </w:p>
    <w:p w14:paraId="32691EA9" w14:textId="77777777" w:rsidR="0037011B" w:rsidRDefault="0037011B" w:rsidP="0037011B">
      <w:pPr>
        <w:pStyle w:val="ListParagraph"/>
        <w:numPr>
          <w:ilvl w:val="0"/>
          <w:numId w:val="48"/>
        </w:numPr>
        <w:spacing w:before="240" w:after="160" w:line="276" w:lineRule="auto"/>
      </w:pPr>
      <w:proofErr w:type="spellStart"/>
      <w:r>
        <w:t>Cunney</w:t>
      </w:r>
      <w:proofErr w:type="spellEnd"/>
      <w:r>
        <w:t>, R. J., et al. (2000). Investigation of an outbreak of gastroenteritis caused by Norwalk-like virus, using solid phase immune electron microscopy. Journal of Hospital Infection 44(2): 113-118.</w:t>
      </w:r>
    </w:p>
    <w:p w14:paraId="05CA0DC5" w14:textId="77777777" w:rsidR="0037011B" w:rsidRDefault="0037011B" w:rsidP="0037011B">
      <w:pPr>
        <w:pStyle w:val="ListParagraph"/>
        <w:numPr>
          <w:ilvl w:val="0"/>
          <w:numId w:val="48"/>
        </w:numPr>
        <w:spacing w:before="240" w:after="160" w:line="276" w:lineRule="auto"/>
      </w:pPr>
      <w:r w:rsidRPr="004E06A9">
        <w:t>Koo, H. L., et al. (2009). A nosocomial outbreak of norovirus infection masquerading as clostridium difficile infection. Clinical infectious diseases : an official publication of the Infectious Diseases Society of America 48(7): e75-77.</w:t>
      </w:r>
    </w:p>
    <w:p w14:paraId="337EDFE9" w14:textId="77777777" w:rsidR="0037011B" w:rsidRDefault="0037011B" w:rsidP="0037011B">
      <w:pPr>
        <w:pStyle w:val="ListParagraph"/>
        <w:numPr>
          <w:ilvl w:val="0"/>
          <w:numId w:val="48"/>
        </w:numPr>
        <w:spacing w:before="240" w:after="160" w:line="276" w:lineRule="auto"/>
      </w:pPr>
      <w:r w:rsidRPr="004E06A9">
        <w:t>Miller, M., et al. (2002). Norwalk-like virus outbreak in Canberra: implications for infection control in aged care facilities. Communicable diseases intelligence 26(4): 555-561.</w:t>
      </w:r>
    </w:p>
    <w:p w14:paraId="2560C0F7" w14:textId="77777777" w:rsidR="0037011B" w:rsidRDefault="0037011B" w:rsidP="0037011B">
      <w:pPr>
        <w:pStyle w:val="ListParagraph"/>
        <w:numPr>
          <w:ilvl w:val="0"/>
          <w:numId w:val="48"/>
        </w:numPr>
        <w:spacing w:before="240" w:after="160" w:line="276" w:lineRule="auto"/>
      </w:pPr>
      <w:r w:rsidRPr="004E06A9">
        <w:t>Riordan T, Wills A. An outbreak of gastroenteritis in a psycho-geriatric hospital associated with a small round structured virus. J Hosp Infect 1986; 8: 296–299.</w:t>
      </w:r>
    </w:p>
    <w:p w14:paraId="0BD79CF9" w14:textId="77777777" w:rsidR="0037011B" w:rsidRDefault="0037011B" w:rsidP="0037011B">
      <w:pPr>
        <w:pStyle w:val="ListParagraph"/>
        <w:numPr>
          <w:ilvl w:val="0"/>
          <w:numId w:val="48"/>
        </w:numPr>
        <w:spacing w:before="240" w:after="160" w:line="276" w:lineRule="auto"/>
      </w:pPr>
      <w:r w:rsidRPr="004E06A9">
        <w:t xml:space="preserve">Lo SV, Connolly AM, Palmer SR, Wright D, Thomas PD, </w:t>
      </w:r>
      <w:proofErr w:type="spellStart"/>
      <w:r w:rsidRPr="004E06A9">
        <w:t>Joynson</w:t>
      </w:r>
      <w:proofErr w:type="spellEnd"/>
      <w:r w:rsidRPr="004E06A9">
        <w:t xml:space="preserve"> D. The role of pre-symptomatic food handler in a common source outbreak of food-borne SRSV gastroenteritis in a group of hospitals. Epidemiol Infect 1994; 113: 513–521</w:t>
      </w:r>
    </w:p>
    <w:p w14:paraId="69ADBCBE" w14:textId="77777777" w:rsidR="0037011B" w:rsidRPr="009A61ED" w:rsidRDefault="0037011B" w:rsidP="0037011B">
      <w:pPr>
        <w:pStyle w:val="ListParagraph"/>
        <w:numPr>
          <w:ilvl w:val="0"/>
          <w:numId w:val="48"/>
        </w:numPr>
        <w:spacing w:before="240" w:after="160" w:line="276" w:lineRule="auto"/>
      </w:pPr>
      <w:proofErr w:type="spellStart"/>
      <w:r w:rsidRPr="004E06A9">
        <w:t>Geng</w:t>
      </w:r>
      <w:proofErr w:type="spellEnd"/>
      <w:r w:rsidRPr="004E06A9">
        <w:t>, Q., et al. (2021). Epidemiologic features and influencing factors of norovirus outbreaks in the city of Wuxi, China from 2014 to 2018. American Journal of Tropical Medicine and Hygiene 105(6): 1575-1581.</w:t>
      </w:r>
    </w:p>
    <w:p w14:paraId="492EBF62" w14:textId="77777777" w:rsidR="0037011B" w:rsidRDefault="0037011B" w:rsidP="0037011B">
      <w:pPr>
        <w:pStyle w:val="ListParagraph"/>
        <w:numPr>
          <w:ilvl w:val="0"/>
          <w:numId w:val="48"/>
        </w:numPr>
        <w:spacing w:before="240" w:after="160" w:line="276" w:lineRule="auto"/>
      </w:pPr>
      <w:proofErr w:type="spellStart"/>
      <w:r w:rsidRPr="004E06A9">
        <w:t>Doménech</w:t>
      </w:r>
      <w:proofErr w:type="spellEnd"/>
      <w:r w:rsidRPr="004E06A9">
        <w:t xml:space="preserve">-Sánchez A, Juan C, Pérez JL, </w:t>
      </w:r>
      <w:proofErr w:type="spellStart"/>
      <w:r w:rsidRPr="004E06A9">
        <w:t>Berrocal</w:t>
      </w:r>
      <w:proofErr w:type="spellEnd"/>
      <w:r w:rsidRPr="004E06A9">
        <w:t xml:space="preserve"> CI. 2011. Unmanageable norovirus outbreak in a single resort located in the Dominican Republic. Clin </w:t>
      </w:r>
      <w:proofErr w:type="spellStart"/>
      <w:r w:rsidRPr="004E06A9">
        <w:t>Microbiol</w:t>
      </w:r>
      <w:proofErr w:type="spellEnd"/>
      <w:r w:rsidRPr="004E06A9">
        <w:t xml:space="preserve"> Infect. 17:952–954</w:t>
      </w:r>
    </w:p>
    <w:p w14:paraId="2170DDD5" w14:textId="77777777" w:rsidR="0037011B" w:rsidRDefault="0037011B" w:rsidP="0037011B">
      <w:pPr>
        <w:pStyle w:val="ListParagraph"/>
        <w:numPr>
          <w:ilvl w:val="0"/>
          <w:numId w:val="48"/>
        </w:numPr>
        <w:spacing w:before="240" w:after="160" w:line="276" w:lineRule="auto"/>
      </w:pPr>
      <w:proofErr w:type="spellStart"/>
      <w:r>
        <w:t>Gunaratnam</w:t>
      </w:r>
      <w:proofErr w:type="spellEnd"/>
      <w:r>
        <w:t xml:space="preserve"> P., Furlong C., Hope K., </w:t>
      </w:r>
      <w:proofErr w:type="spellStart"/>
      <w:r>
        <w:t>Jupta</w:t>
      </w:r>
      <w:proofErr w:type="spellEnd"/>
      <w:r>
        <w:t xml:space="preserve"> L., Shadbolt C., Shields J. et al. Use of </w:t>
      </w:r>
      <w:proofErr w:type="spellStart"/>
      <w:r>
        <w:t>prohobotion</w:t>
      </w:r>
      <w:proofErr w:type="spellEnd"/>
      <w:r>
        <w:t xml:space="preserve"> order after a large outbreak of gastroenteritis caused by norovirus among function attendees. Western Pac </w:t>
      </w:r>
      <w:proofErr w:type="spellStart"/>
      <w:r>
        <w:t>Surveil</w:t>
      </w:r>
      <w:proofErr w:type="spellEnd"/>
      <w:r>
        <w:t xml:space="preserve"> Response, 2012;  </w:t>
      </w:r>
    </w:p>
    <w:p w14:paraId="01FAF5F2" w14:textId="77777777" w:rsidR="0037011B" w:rsidRDefault="0037011B" w:rsidP="0037011B">
      <w:pPr>
        <w:pStyle w:val="ListParagraph"/>
        <w:numPr>
          <w:ilvl w:val="0"/>
          <w:numId w:val="48"/>
        </w:numPr>
        <w:spacing w:before="240" w:after="160" w:line="276" w:lineRule="auto"/>
      </w:pPr>
      <w:r w:rsidRPr="004E06A9">
        <w:t>Anderson, K. L. (2009). Norovirus Outbreak Management in a Resident-Directed Care Environment. Geriatric Nursing 30(5): 318-328.</w:t>
      </w:r>
    </w:p>
    <w:p w14:paraId="13B9F5EC" w14:textId="77777777" w:rsidR="0037011B" w:rsidRDefault="0037011B" w:rsidP="0037011B">
      <w:pPr>
        <w:pStyle w:val="ListParagraph"/>
        <w:numPr>
          <w:ilvl w:val="0"/>
          <w:numId w:val="48"/>
        </w:numPr>
        <w:spacing w:before="240" w:after="160" w:line="276" w:lineRule="auto"/>
      </w:pPr>
      <w:proofErr w:type="spellStart"/>
      <w:r w:rsidRPr="004E06A9">
        <w:t>Billgren</w:t>
      </w:r>
      <w:proofErr w:type="spellEnd"/>
      <w:r w:rsidRPr="004E06A9">
        <w:t xml:space="preserve"> M, Christenson B, Hedlund KO, </w:t>
      </w:r>
      <w:proofErr w:type="spellStart"/>
      <w:r w:rsidRPr="004E06A9">
        <w:t>Vinje</w:t>
      </w:r>
      <w:proofErr w:type="spellEnd"/>
      <w:r w:rsidRPr="004E06A9">
        <w:t xml:space="preserve"> J. Epidemiology of Norwalk-like human caliciviruses in hospital outbreaks of acute gastroenteritis in the Stockholm area in 1996. J Infect. 2002;44(1):26-32.</w:t>
      </w:r>
    </w:p>
    <w:p w14:paraId="601C0A45" w14:textId="77777777" w:rsidR="0037011B" w:rsidRDefault="0037011B" w:rsidP="0037011B">
      <w:pPr>
        <w:pStyle w:val="ListParagraph"/>
        <w:numPr>
          <w:ilvl w:val="0"/>
          <w:numId w:val="48"/>
        </w:numPr>
        <w:spacing w:before="240" w:after="160" w:line="276" w:lineRule="auto"/>
      </w:pPr>
      <w:r>
        <w:t>Cunha, B. A., et al. (2008). Community-acquired norovirus diarrhoea outbreak mimicking a community-acquired C. difficile diarrhoea outbreak. Journal of Hospital Infection 70(1): 98-100.</w:t>
      </w:r>
    </w:p>
    <w:p w14:paraId="2EC2D800" w14:textId="77777777" w:rsidR="0037011B" w:rsidRDefault="0037011B" w:rsidP="0037011B">
      <w:pPr>
        <w:pStyle w:val="ListParagraph"/>
        <w:numPr>
          <w:ilvl w:val="0"/>
          <w:numId w:val="48"/>
        </w:numPr>
        <w:spacing w:before="240" w:after="160" w:line="276" w:lineRule="auto"/>
      </w:pPr>
      <w:proofErr w:type="spellStart"/>
      <w:r w:rsidRPr="004E06A9">
        <w:t>Leuenberger</w:t>
      </w:r>
      <w:proofErr w:type="spellEnd"/>
      <w:r w:rsidRPr="004E06A9">
        <w:t>, S., et al. (2007). Norovirus outbreak in a district general hospital--new strain identified. Swiss medical weekly 137(3-4): 57-81.</w:t>
      </w:r>
    </w:p>
    <w:p w14:paraId="03E5572A" w14:textId="77777777" w:rsidR="0037011B" w:rsidRDefault="0037011B" w:rsidP="0037011B">
      <w:pPr>
        <w:pStyle w:val="ListParagraph"/>
        <w:numPr>
          <w:ilvl w:val="0"/>
          <w:numId w:val="48"/>
        </w:numPr>
        <w:spacing w:before="240" w:after="160" w:line="276" w:lineRule="auto"/>
      </w:pPr>
      <w:r w:rsidRPr="004E06A9">
        <w:t>Tseng, C. Y., et al. (2011). Characteristics of norovirus gastroenteritis outbreaks in a psychiatric centre. Epidemiology and Infection 139(2): 275-285.</w:t>
      </w:r>
      <w:r>
        <w:t xml:space="preserve"> </w:t>
      </w:r>
    </w:p>
    <w:p w14:paraId="104D8D99" w14:textId="77777777" w:rsidR="0037011B" w:rsidRDefault="0037011B" w:rsidP="0037011B">
      <w:pPr>
        <w:pStyle w:val="ListParagraph"/>
        <w:numPr>
          <w:ilvl w:val="0"/>
          <w:numId w:val="48"/>
        </w:numPr>
        <w:spacing w:before="240" w:after="160" w:line="276" w:lineRule="auto"/>
      </w:pPr>
      <w:proofErr w:type="spellStart"/>
      <w:r w:rsidRPr="004E06A9">
        <w:t>Cheesbrough</w:t>
      </w:r>
      <w:proofErr w:type="spellEnd"/>
      <w:r w:rsidRPr="004E06A9">
        <w:t xml:space="preserve">, J S, Green, J, Gallimore, C I, Wright, P A and Brown, D WG. 2000. Widespread environmental contamination with Norwalk-like viruses (NLV) </w:t>
      </w:r>
      <w:r w:rsidRPr="004E06A9">
        <w:lastRenderedPageBreak/>
        <w:t>detected in a prolonged hotel outbreak of gastroenteritis. Epidemiol Infect, 125: 93–98.</w:t>
      </w:r>
    </w:p>
    <w:p w14:paraId="0A3DE7EC" w14:textId="77777777" w:rsidR="0037011B" w:rsidRDefault="0037011B" w:rsidP="0037011B">
      <w:pPr>
        <w:pStyle w:val="ListParagraph"/>
        <w:numPr>
          <w:ilvl w:val="0"/>
          <w:numId w:val="48"/>
        </w:numPr>
        <w:spacing w:before="240" w:after="160" w:line="276" w:lineRule="auto"/>
      </w:pPr>
      <w:r w:rsidRPr="009E5D50">
        <w:t>Lai, C.-C., et al. (2013). A norovirus outbreak in a nursing home: norovirus shedding time associated with age. Journal of clinical virology : the official publication of the Pan American Society for Clinical Virology 56(2): 96-101</w:t>
      </w:r>
    </w:p>
    <w:p w14:paraId="03F70B33" w14:textId="77777777" w:rsidR="0037011B" w:rsidRDefault="0037011B" w:rsidP="0037011B">
      <w:pPr>
        <w:pStyle w:val="ListParagraph"/>
        <w:numPr>
          <w:ilvl w:val="0"/>
          <w:numId w:val="48"/>
        </w:numPr>
        <w:spacing w:before="240" w:after="160" w:line="276" w:lineRule="auto"/>
      </w:pPr>
      <w:r w:rsidRPr="009E5D50">
        <w:t>Nguyen, L. M. and J. P. Middaugh (2012). Suspected transmission of norovirus in eight long-term care facilities attributed to staff working at multiple institutions. Epidemiology and Infection 140(9): 1702-1709.</w:t>
      </w:r>
    </w:p>
    <w:p w14:paraId="37755B6D" w14:textId="77777777" w:rsidR="0037011B" w:rsidRDefault="0037011B" w:rsidP="0037011B">
      <w:pPr>
        <w:pStyle w:val="ListParagraph"/>
        <w:numPr>
          <w:ilvl w:val="0"/>
          <w:numId w:val="48"/>
        </w:numPr>
        <w:spacing w:before="240" w:after="160" w:line="276" w:lineRule="auto"/>
      </w:pPr>
      <w:r>
        <w:t>Blaney, D. D., et al. (2011). Use of alcohol-based hand sanitizers as a risk factor for norovirus outbreaks in long-term care facilities in northern New England: December 2006 to March 2007. American Journal of Infection Control 39(4): 296-301.</w:t>
      </w:r>
    </w:p>
    <w:p w14:paraId="2C412B68" w14:textId="77777777" w:rsidR="0037011B" w:rsidRDefault="0037011B" w:rsidP="0037011B">
      <w:pPr>
        <w:pStyle w:val="ListParagraph"/>
        <w:numPr>
          <w:ilvl w:val="0"/>
          <w:numId w:val="48"/>
        </w:numPr>
        <w:spacing w:before="240" w:after="160" w:line="276" w:lineRule="auto"/>
      </w:pPr>
      <w:r>
        <w:t>Smith, C., et al. (2019). Prolonged norovirus shedding and the use of a rapid norovirus polymerase chain reaction to assess terminal room cleaning in immunocompromised patients. Journal of Hospital Infection 102(3): 354-355.</w:t>
      </w:r>
    </w:p>
    <w:p w14:paraId="5B2B0135" w14:textId="77777777" w:rsidR="0037011B" w:rsidRDefault="0037011B" w:rsidP="0037011B">
      <w:pPr>
        <w:pStyle w:val="ListParagraph"/>
        <w:numPr>
          <w:ilvl w:val="0"/>
          <w:numId w:val="48"/>
        </w:numPr>
        <w:spacing w:before="240" w:after="160" w:line="276" w:lineRule="auto"/>
      </w:pPr>
      <w:proofErr w:type="spellStart"/>
      <w:r>
        <w:t>Inaida</w:t>
      </w:r>
      <w:proofErr w:type="spellEnd"/>
      <w:r>
        <w:t>, S., et al. (2016). Delayed norovirus epidemic in the 2009-2010 season in Japan: Potential relationship with intensive hand sanitizer use for pandemic influenza. Epidemiology and Infection 144(12): 2561-2567.</w:t>
      </w:r>
    </w:p>
    <w:p w14:paraId="1BDA3296" w14:textId="77777777" w:rsidR="0037011B" w:rsidRDefault="0037011B" w:rsidP="0037011B">
      <w:pPr>
        <w:pStyle w:val="ListParagraph"/>
        <w:numPr>
          <w:ilvl w:val="0"/>
          <w:numId w:val="48"/>
        </w:numPr>
        <w:spacing w:before="240" w:after="160" w:line="276" w:lineRule="auto"/>
      </w:pPr>
      <w:proofErr w:type="spellStart"/>
      <w:r>
        <w:t>Gehrke</w:t>
      </w:r>
      <w:proofErr w:type="spellEnd"/>
      <w:r>
        <w:t>, C., et al. (2004). Inactivation of feline calicivirus, a surrogate of norovirus (formerly Norwalk-like viruses), by different types of alcohol in vitro and in vivo. The Journal of hospital infection 56(1): 49-55.</w:t>
      </w:r>
    </w:p>
    <w:p w14:paraId="1CD3604A" w14:textId="77777777" w:rsidR="0037011B" w:rsidRDefault="0037011B" w:rsidP="0037011B">
      <w:pPr>
        <w:pStyle w:val="ListParagraph"/>
        <w:numPr>
          <w:ilvl w:val="0"/>
          <w:numId w:val="48"/>
        </w:numPr>
        <w:spacing w:before="240" w:after="160" w:line="276" w:lineRule="auto"/>
      </w:pPr>
      <w:proofErr w:type="spellStart"/>
      <w:r>
        <w:t>Kampf</w:t>
      </w:r>
      <w:proofErr w:type="spellEnd"/>
      <w:r>
        <w:t>, G., et al. (2005). Efficacy of three ethanol-based hand rubs against feline calicivirus, a surrogate virus for norovirus. Journal of Hospital Infection 60(2): 144-149.</w:t>
      </w:r>
    </w:p>
    <w:p w14:paraId="7421A868" w14:textId="77777777" w:rsidR="0037011B" w:rsidRDefault="0037011B" w:rsidP="0037011B">
      <w:pPr>
        <w:pStyle w:val="ListParagraph"/>
        <w:numPr>
          <w:ilvl w:val="0"/>
          <w:numId w:val="48"/>
        </w:numPr>
        <w:spacing w:before="240" w:after="160" w:line="276" w:lineRule="auto"/>
      </w:pPr>
      <w:r>
        <w:t>Kramer, A., et al. (2006). Virucidal activity of a new hand disinfectant with reduced ethanol content: comparison with other alcohol-based formulations. The Journal of hospital infection 62(1): 98-106.</w:t>
      </w:r>
    </w:p>
    <w:p w14:paraId="4A46A075" w14:textId="77777777" w:rsidR="0037011B" w:rsidRDefault="0037011B" w:rsidP="0037011B">
      <w:pPr>
        <w:pStyle w:val="ListParagraph"/>
        <w:numPr>
          <w:ilvl w:val="0"/>
          <w:numId w:val="48"/>
        </w:numPr>
        <w:spacing w:before="240" w:after="160" w:line="276" w:lineRule="auto"/>
      </w:pPr>
      <w:r>
        <w:t>Lages, S. L. S., et al. (2008). In-vivo efficacy of hand sanitisers against feline calicivirus: a surrogate for norovirus. Journal of Hospital Infection 68(2): 159-163.</w:t>
      </w:r>
    </w:p>
    <w:p w14:paraId="128679F4" w14:textId="77777777" w:rsidR="0037011B" w:rsidRDefault="0037011B" w:rsidP="0037011B">
      <w:pPr>
        <w:pStyle w:val="ListParagraph"/>
        <w:numPr>
          <w:ilvl w:val="0"/>
          <w:numId w:val="48"/>
        </w:numPr>
        <w:spacing w:before="240" w:after="160" w:line="276" w:lineRule="auto"/>
      </w:pPr>
      <w:r>
        <w:t>Liu, P., et al. (2010). Effectiveness of liquid soap and hand sanitizer against Norwalk virus on contaminated hands. Applied and Environmental Microbiology 76(2): 394-399.</w:t>
      </w:r>
    </w:p>
    <w:p w14:paraId="4C014A20" w14:textId="77777777" w:rsidR="0037011B" w:rsidRDefault="0037011B" w:rsidP="0037011B">
      <w:pPr>
        <w:pStyle w:val="ListParagraph"/>
        <w:numPr>
          <w:ilvl w:val="0"/>
          <w:numId w:val="48"/>
        </w:numPr>
        <w:spacing w:before="240" w:after="160" w:line="276" w:lineRule="auto"/>
      </w:pPr>
      <w:r>
        <w:t xml:space="preserve">Liu, P., et al. (2011). Comparison of the Activity of Alcohol-Based </w:t>
      </w:r>
      <w:proofErr w:type="spellStart"/>
      <w:r>
        <w:t>Handrubs</w:t>
      </w:r>
      <w:proofErr w:type="spellEnd"/>
      <w:r>
        <w:t xml:space="preserve"> Against Human Noroviruses Using the Fingerpad Method and Quantitative Real-Time PCR. Food and Environmental Virology 3(1): 35-42.</w:t>
      </w:r>
    </w:p>
    <w:p w14:paraId="68858836" w14:textId="77777777" w:rsidR="0037011B" w:rsidRDefault="0037011B" w:rsidP="0037011B">
      <w:pPr>
        <w:pStyle w:val="ListParagraph"/>
        <w:numPr>
          <w:ilvl w:val="0"/>
          <w:numId w:val="48"/>
        </w:numPr>
        <w:spacing w:before="240" w:after="160" w:line="276" w:lineRule="auto"/>
      </w:pPr>
      <w:proofErr w:type="spellStart"/>
      <w:r>
        <w:t>Macinga</w:t>
      </w:r>
      <w:proofErr w:type="spellEnd"/>
      <w:r>
        <w:t>, D. R., et al. (2008). Improved inactivation of nonenveloped enteric viruses and their surrogates by a novel alcohol-based hand sanitizer. Applied and Environmental Microbiology 74(16): 5047-5052.</w:t>
      </w:r>
    </w:p>
    <w:p w14:paraId="65C7709B" w14:textId="77777777" w:rsidR="0037011B" w:rsidRDefault="0037011B" w:rsidP="0037011B">
      <w:pPr>
        <w:pStyle w:val="ListParagraph"/>
        <w:numPr>
          <w:ilvl w:val="0"/>
          <w:numId w:val="48"/>
        </w:numPr>
        <w:spacing w:before="240" w:after="160" w:line="276" w:lineRule="auto"/>
      </w:pPr>
      <w:proofErr w:type="spellStart"/>
      <w:r>
        <w:t>Paulmann</w:t>
      </w:r>
      <w:proofErr w:type="spellEnd"/>
      <w:r>
        <w:t xml:space="preserve"> D, Steinmann J, Becker B, Bischoff B, Steinmann E, Steinmann J. Virucidal activity of different alcohols against murine norovirus, a surrogate of human norovirus. J Hosp Infect. 2011 Dec;79(4):378-9</w:t>
      </w:r>
    </w:p>
    <w:p w14:paraId="2F37E737" w14:textId="77777777" w:rsidR="0037011B" w:rsidRDefault="0037011B" w:rsidP="0037011B">
      <w:pPr>
        <w:pStyle w:val="ListParagraph"/>
        <w:numPr>
          <w:ilvl w:val="0"/>
          <w:numId w:val="48"/>
        </w:numPr>
        <w:spacing w:before="240" w:after="160" w:line="276" w:lineRule="auto"/>
      </w:pPr>
      <w:r>
        <w:lastRenderedPageBreak/>
        <w:t xml:space="preserve">Sattar, S. A., et al. (2011). In Vivo comparison of two human norovirus surrogates for testing ethanol-based </w:t>
      </w:r>
      <w:proofErr w:type="spellStart"/>
      <w:r>
        <w:t>handrubs</w:t>
      </w:r>
      <w:proofErr w:type="spellEnd"/>
      <w:r>
        <w:t xml:space="preserve">: The mouse chasing the cat! </w:t>
      </w:r>
      <w:proofErr w:type="spellStart"/>
      <w:r>
        <w:t>PLoS</w:t>
      </w:r>
      <w:proofErr w:type="spellEnd"/>
      <w:r>
        <w:t xml:space="preserve"> ONE 6(2): e17340.</w:t>
      </w:r>
    </w:p>
    <w:p w14:paraId="0EADFAF5" w14:textId="77777777" w:rsidR="0037011B" w:rsidRDefault="0037011B" w:rsidP="0037011B">
      <w:pPr>
        <w:pStyle w:val="ListParagraph"/>
        <w:numPr>
          <w:ilvl w:val="0"/>
          <w:numId w:val="48"/>
        </w:numPr>
        <w:spacing w:before="240" w:after="160" w:line="276" w:lineRule="auto"/>
      </w:pPr>
      <w:r>
        <w:t>Steinmann, J., et al. (2012). Comparison of virucidal activity of alcohol-based hand sanitizers versus antimicrobial hand soaps in vitro and in vivo. The Journal of hospital infection 82(4): 277-280.</w:t>
      </w:r>
    </w:p>
    <w:p w14:paraId="4381318A" w14:textId="77777777" w:rsidR="0037011B" w:rsidRDefault="0037011B" w:rsidP="0037011B">
      <w:pPr>
        <w:pStyle w:val="ListParagraph"/>
        <w:numPr>
          <w:ilvl w:val="0"/>
          <w:numId w:val="48"/>
        </w:numPr>
        <w:spacing w:before="240" w:after="160" w:line="276" w:lineRule="auto"/>
      </w:pPr>
      <w:proofErr w:type="spellStart"/>
      <w:r>
        <w:t>Tuladhar</w:t>
      </w:r>
      <w:proofErr w:type="spellEnd"/>
      <w:r>
        <w:t>, E., et al. (2015). Reducing viral contamination from finger pads: Handwashing is more effective than alcohol-based hand disinfectants. Journal of Hospital Infection 90(3): 226-234.</w:t>
      </w:r>
    </w:p>
    <w:p w14:paraId="4E565F3D" w14:textId="77777777" w:rsidR="0037011B" w:rsidRDefault="0037011B" w:rsidP="0037011B">
      <w:pPr>
        <w:pStyle w:val="ListParagraph"/>
        <w:numPr>
          <w:ilvl w:val="0"/>
          <w:numId w:val="48"/>
        </w:numPr>
        <w:spacing w:before="240" w:after="160" w:line="276" w:lineRule="auto"/>
      </w:pPr>
      <w:r>
        <w:t>Eggers, M., et al. (2018). Bactericidal and Virucidal Activity of Povidone-Iodine and Chlorhexidine Gluconate Cleansers in an In Vivo Hand Hygiene Clinical Simulation Study. Infectious Diseases and Therapy 7(2): 235-247.</w:t>
      </w:r>
    </w:p>
    <w:p w14:paraId="62907469" w14:textId="77777777" w:rsidR="0037011B" w:rsidRDefault="0037011B" w:rsidP="0037011B">
      <w:pPr>
        <w:pStyle w:val="ListParagraph"/>
        <w:numPr>
          <w:ilvl w:val="0"/>
          <w:numId w:val="48"/>
        </w:numPr>
        <w:spacing w:before="240" w:after="160" w:line="276" w:lineRule="auto"/>
      </w:pPr>
      <w:r>
        <w:t xml:space="preserve">Wilson, A. M., et al. (2020). Comparison of estimated norovirus infection risk reductions for a single fomite contact scenario with residual and </w:t>
      </w:r>
      <w:proofErr w:type="spellStart"/>
      <w:r>
        <w:t>nonresidual</w:t>
      </w:r>
      <w:proofErr w:type="spellEnd"/>
      <w:r>
        <w:t xml:space="preserve"> hand sanitizers. American Journal of Infection Control 48(5): 538-544.</w:t>
      </w:r>
    </w:p>
    <w:p w14:paraId="5ACEC466" w14:textId="77777777" w:rsidR="0037011B" w:rsidRDefault="0037011B" w:rsidP="0037011B">
      <w:pPr>
        <w:pStyle w:val="ListParagraph"/>
        <w:numPr>
          <w:ilvl w:val="0"/>
          <w:numId w:val="48"/>
        </w:numPr>
        <w:spacing w:before="240" w:after="160" w:line="276" w:lineRule="auto"/>
      </w:pPr>
      <w:proofErr w:type="spellStart"/>
      <w:r>
        <w:t>Bidawid</w:t>
      </w:r>
      <w:proofErr w:type="spellEnd"/>
      <w:r>
        <w:t>, S., et al. (2004). Norovirus Cross-Contamination during Food Handling and Interruption of Virus Transfer by Hand Antisepsis: Experiments with Feline Calicivirus as a Surrogate. Journal of Food Protection 67(1): 103-109.</w:t>
      </w:r>
    </w:p>
    <w:p w14:paraId="4951583E" w14:textId="77777777" w:rsidR="0037011B" w:rsidRDefault="0037011B" w:rsidP="0037011B">
      <w:pPr>
        <w:pStyle w:val="ListParagraph"/>
        <w:numPr>
          <w:ilvl w:val="0"/>
          <w:numId w:val="48"/>
        </w:numPr>
        <w:spacing w:before="240" w:after="160" w:line="276" w:lineRule="auto"/>
      </w:pPr>
      <w:r>
        <w:t>Edmonds, S. L., et al. (2012). Hand hygiene regimens for the reduction of risk in food service environments. Journal of Food Protection 75(7): 1303-1309.</w:t>
      </w:r>
    </w:p>
    <w:p w14:paraId="50B31E89" w14:textId="77777777" w:rsidR="0037011B" w:rsidRDefault="0037011B" w:rsidP="0037011B">
      <w:pPr>
        <w:pStyle w:val="ListParagraph"/>
        <w:numPr>
          <w:ilvl w:val="0"/>
          <w:numId w:val="48"/>
        </w:numPr>
        <w:spacing w:before="240" w:after="160" w:line="276" w:lineRule="auto"/>
      </w:pPr>
      <w:r>
        <w:t>Lin, C.-M., et al. (2003). A comparison of hand washing techniques to remove Escherichia coli and caliciviruses under natural or artificial fingernails. Journal of Food Protection 66(12): 2296-2301.</w:t>
      </w:r>
    </w:p>
    <w:p w14:paraId="02A749B6" w14:textId="77777777" w:rsidR="0037011B" w:rsidRDefault="0037011B" w:rsidP="0037011B">
      <w:pPr>
        <w:pStyle w:val="ListParagraph"/>
        <w:numPr>
          <w:ilvl w:val="0"/>
          <w:numId w:val="48"/>
        </w:numPr>
        <w:spacing w:before="240" w:after="160" w:line="276" w:lineRule="auto"/>
      </w:pPr>
      <w:r>
        <w:t xml:space="preserve">Conway R, Bunt S, Mathias E, Said H. The Norovirus experience: an exercise in outbreak management at a tertiary referral hospital. </w:t>
      </w:r>
      <w:proofErr w:type="spellStart"/>
      <w:r>
        <w:t>Aust</w:t>
      </w:r>
      <w:proofErr w:type="spellEnd"/>
      <w:r>
        <w:t xml:space="preserve"> Infect Control. 2005;10(3):95, 97-102.</w:t>
      </w:r>
    </w:p>
    <w:p w14:paraId="66C379B8" w14:textId="77777777" w:rsidR="0037011B" w:rsidRDefault="0037011B" w:rsidP="0037011B">
      <w:pPr>
        <w:pStyle w:val="ListParagraph"/>
        <w:numPr>
          <w:ilvl w:val="0"/>
          <w:numId w:val="48"/>
        </w:numPr>
        <w:spacing w:before="240" w:after="160" w:line="276" w:lineRule="auto"/>
      </w:pPr>
      <w:proofErr w:type="spellStart"/>
      <w:r>
        <w:t>Ronnqvist</w:t>
      </w:r>
      <w:proofErr w:type="spellEnd"/>
      <w:r>
        <w:t>, M., et al. (2014). Norovirus transmission between hands, gloves, utensils, and fresh produce during simulated food handling. Applied and Environmental Microbiology 80(17): 5403-5410</w:t>
      </w:r>
    </w:p>
    <w:p w14:paraId="7421874C" w14:textId="77777777" w:rsidR="0037011B" w:rsidRDefault="0037011B" w:rsidP="0037011B">
      <w:pPr>
        <w:pStyle w:val="ListParagraph"/>
        <w:numPr>
          <w:ilvl w:val="0"/>
          <w:numId w:val="48"/>
        </w:numPr>
        <w:spacing w:before="240" w:after="160" w:line="276" w:lineRule="auto"/>
      </w:pPr>
      <w:proofErr w:type="spellStart"/>
      <w:r>
        <w:t>Kuusi</w:t>
      </w:r>
      <w:proofErr w:type="spellEnd"/>
      <w:r>
        <w:t xml:space="preserve">, M., J. P. </w:t>
      </w:r>
      <w:proofErr w:type="spellStart"/>
      <w:r>
        <w:t>Nuorti</w:t>
      </w:r>
      <w:proofErr w:type="spellEnd"/>
      <w:r>
        <w:t xml:space="preserve">, L. </w:t>
      </w:r>
      <w:proofErr w:type="spellStart"/>
      <w:r>
        <w:t>Maunula</w:t>
      </w:r>
      <w:proofErr w:type="spellEnd"/>
      <w:r>
        <w:t xml:space="preserve">, N. N. Tran Minh, M. </w:t>
      </w:r>
      <w:proofErr w:type="spellStart"/>
      <w:r>
        <w:t>Ratia</w:t>
      </w:r>
      <w:proofErr w:type="spellEnd"/>
      <w:r>
        <w:t xml:space="preserve">, J. Karlsson, and C. H. von </w:t>
      </w:r>
      <w:proofErr w:type="spellStart"/>
      <w:r>
        <w:t>Bonsdorf</w:t>
      </w:r>
      <w:proofErr w:type="spellEnd"/>
      <w:r>
        <w:t>. 2002. A prolonged outbreak of Norwalk-like calicivirus (NLV) gastroenteritis in a rehabilitation centre due to environmental contamination. Epidemiol. Infect. 129: 133–138</w:t>
      </w:r>
    </w:p>
    <w:p w14:paraId="45505E54" w14:textId="77777777" w:rsidR="0037011B" w:rsidRDefault="0037011B" w:rsidP="0037011B">
      <w:pPr>
        <w:pStyle w:val="ListParagraph"/>
        <w:numPr>
          <w:ilvl w:val="0"/>
          <w:numId w:val="48"/>
        </w:numPr>
        <w:spacing w:before="240" w:after="160" w:line="276" w:lineRule="auto"/>
      </w:pPr>
      <w:r>
        <w:t>Vipond IB, Barker J, Bloomfield SF, Caul EO. Molecular epidemiology for detecting Norwalk-like viruses in clinical cases and associated environment contamination. J Hosp Infect 2002;50:237-8.</w:t>
      </w:r>
    </w:p>
    <w:p w14:paraId="373F8FC3" w14:textId="77777777" w:rsidR="0037011B" w:rsidRDefault="0037011B" w:rsidP="0037011B">
      <w:pPr>
        <w:pStyle w:val="ListParagraph"/>
        <w:numPr>
          <w:ilvl w:val="0"/>
          <w:numId w:val="48"/>
        </w:numPr>
        <w:spacing w:before="240" w:after="160" w:line="276" w:lineRule="auto"/>
      </w:pPr>
      <w:proofErr w:type="spellStart"/>
      <w:r>
        <w:t>Nenonen</w:t>
      </w:r>
      <w:proofErr w:type="spellEnd"/>
      <w:r>
        <w:t>, N. P., et al. (2014). Norovirus GII.4 detection in environmental samples from patient rooms during nosocomial outbreaks. Journal of Clinical Microbiology 52(7): 2352-2358.</w:t>
      </w:r>
    </w:p>
    <w:p w14:paraId="1C7AFE1D" w14:textId="77777777" w:rsidR="0037011B" w:rsidRDefault="0037011B" w:rsidP="0037011B">
      <w:pPr>
        <w:pStyle w:val="ListParagraph"/>
        <w:numPr>
          <w:ilvl w:val="0"/>
          <w:numId w:val="48"/>
        </w:numPr>
        <w:spacing w:before="240" w:after="160" w:line="276" w:lineRule="auto"/>
      </w:pPr>
      <w:r>
        <w:lastRenderedPageBreak/>
        <w:t xml:space="preserve">Rico E., Pérez C., </w:t>
      </w:r>
      <w:proofErr w:type="spellStart"/>
      <w:r>
        <w:t>Belver</w:t>
      </w:r>
      <w:proofErr w:type="spellEnd"/>
      <w:r>
        <w:t xml:space="preserve"> A., </w:t>
      </w:r>
      <w:proofErr w:type="spellStart"/>
      <w:r>
        <w:t>Sabaté</w:t>
      </w:r>
      <w:proofErr w:type="spellEnd"/>
      <w:r>
        <w:t xml:space="preserve"> S., </w:t>
      </w:r>
      <w:proofErr w:type="spellStart"/>
      <w:r>
        <w:t>Razquin</w:t>
      </w:r>
      <w:proofErr w:type="spellEnd"/>
      <w:r>
        <w:t xml:space="preserve"> E., de Benito J. et al. Norovirus detection in environmental samples in norovirus outbreaks in closed and semi-closed settings. J Hosp Infect, 2020; 105(1):3-9</w:t>
      </w:r>
    </w:p>
    <w:p w14:paraId="357362F2" w14:textId="77777777" w:rsidR="0037011B" w:rsidRDefault="0037011B" w:rsidP="0037011B">
      <w:pPr>
        <w:pStyle w:val="ListParagraph"/>
        <w:numPr>
          <w:ilvl w:val="0"/>
          <w:numId w:val="48"/>
        </w:numPr>
        <w:spacing w:before="240" w:after="160" w:line="276" w:lineRule="auto"/>
      </w:pPr>
      <w:r>
        <w:t xml:space="preserve">Huang, XY., </w:t>
      </w:r>
      <w:proofErr w:type="spellStart"/>
      <w:r>
        <w:t>Su</w:t>
      </w:r>
      <w:proofErr w:type="spellEnd"/>
      <w:r>
        <w:t>, J., Lu, QC. et al. A large outbreak of acute gastroenteritis caused by the human norovirus GII.17 strain at a university in Henan Province, China. Infect Dis Poverty 6, 6 (2017). https://doi.org/10.1186/s40249-017-0236-z</w:t>
      </w:r>
    </w:p>
    <w:p w14:paraId="26A7B189" w14:textId="77777777" w:rsidR="0037011B" w:rsidRDefault="0037011B" w:rsidP="0037011B">
      <w:pPr>
        <w:pStyle w:val="ListParagraph"/>
        <w:numPr>
          <w:ilvl w:val="0"/>
          <w:numId w:val="48"/>
        </w:numPr>
        <w:spacing w:before="240" w:after="160" w:line="276" w:lineRule="auto"/>
      </w:pPr>
      <w:r>
        <w:t>Irving, D. J.; Ripley, Danny; Shepherd, Craig; Waller, Leslie A.; Pepper, Jason R.; Dunn, John. Use of an Environmental Swabbing Strategy to Support a Suspected Norovirus Outbreak Investigation at a Retail Food Establishment. Journal of Environmental Health . May2021, Vol. 83 Issue 9, p24-26. 3p.</w:t>
      </w:r>
    </w:p>
    <w:p w14:paraId="0A52A386" w14:textId="77777777" w:rsidR="0037011B" w:rsidRDefault="0037011B" w:rsidP="0037011B">
      <w:pPr>
        <w:pStyle w:val="ListParagraph"/>
        <w:numPr>
          <w:ilvl w:val="0"/>
          <w:numId w:val="48"/>
        </w:numPr>
        <w:spacing w:before="240" w:after="160" w:line="276" w:lineRule="auto"/>
      </w:pPr>
      <w:r>
        <w:t>Jones, E. L., et al. (2007). Role of fomite contamination during an outbreak of norovirus on houseboats. International Journal of Environmental Health Research 17(2): 123-131.</w:t>
      </w:r>
    </w:p>
    <w:p w14:paraId="1F57FB7C" w14:textId="77777777" w:rsidR="0037011B" w:rsidRDefault="0037011B" w:rsidP="0037011B">
      <w:pPr>
        <w:pStyle w:val="ListParagraph"/>
        <w:numPr>
          <w:ilvl w:val="0"/>
          <w:numId w:val="48"/>
        </w:numPr>
        <w:spacing w:before="240" w:after="160" w:line="276" w:lineRule="auto"/>
      </w:pPr>
      <w:r>
        <w:t xml:space="preserve">Li, J., Gao, X., Ye, YL. et al. An acute gastroenteritis outbreak associated with person-to-person transmission in a primary school in Shanghai: first report of a GI.5 norovirus outbreak in China. BMC Infect Dis 18, 316 (2018). </w:t>
      </w:r>
    </w:p>
    <w:p w14:paraId="0D57998B" w14:textId="77777777" w:rsidR="0037011B" w:rsidRDefault="0037011B" w:rsidP="0037011B">
      <w:pPr>
        <w:pStyle w:val="ListParagraph"/>
        <w:numPr>
          <w:ilvl w:val="0"/>
          <w:numId w:val="48"/>
        </w:numPr>
        <w:spacing w:before="240" w:after="160" w:line="276" w:lineRule="auto"/>
      </w:pPr>
      <w:r>
        <w:t xml:space="preserve">Lin YC, </w:t>
      </w:r>
      <w:proofErr w:type="spellStart"/>
      <w:r>
        <w:t>Hipfl</w:t>
      </w:r>
      <w:proofErr w:type="spellEnd"/>
      <w:r>
        <w:t xml:space="preserve"> E, Lederer I, </w:t>
      </w:r>
      <w:proofErr w:type="spellStart"/>
      <w:r>
        <w:t>Allerberger</w:t>
      </w:r>
      <w:proofErr w:type="spellEnd"/>
      <w:r>
        <w:t xml:space="preserve"> F, Schmid D. A norovirus GII.P21 outbreak in a boarding school, Austria 2014. Int. J. Infect. Dis. 37, 25–29 (2015).</w:t>
      </w:r>
    </w:p>
    <w:p w14:paraId="74AA26A2" w14:textId="77777777" w:rsidR="0037011B" w:rsidRDefault="0037011B" w:rsidP="0037011B">
      <w:pPr>
        <w:pStyle w:val="ListParagraph"/>
        <w:numPr>
          <w:ilvl w:val="0"/>
          <w:numId w:val="48"/>
        </w:numPr>
        <w:spacing w:before="240" w:after="160" w:line="276" w:lineRule="auto"/>
      </w:pPr>
      <w:r>
        <w:t>Raj, P., et al. (2017). A large common-source outbreak of norovirus gastroenteritis in a hotel in Singapore, 2012. Epidemiology and Infection 145(3): 535-544.</w:t>
      </w:r>
    </w:p>
    <w:p w14:paraId="3E991D72" w14:textId="77777777" w:rsidR="0037011B" w:rsidRDefault="0037011B" w:rsidP="0037011B">
      <w:pPr>
        <w:pStyle w:val="ListParagraph"/>
        <w:numPr>
          <w:ilvl w:val="0"/>
          <w:numId w:val="48"/>
        </w:numPr>
        <w:spacing w:before="240" w:after="160" w:line="276" w:lineRule="auto"/>
      </w:pPr>
      <w:proofErr w:type="spellStart"/>
      <w:r>
        <w:t>Repp</w:t>
      </w:r>
      <w:proofErr w:type="spellEnd"/>
      <w:r>
        <w:t>, K. K., et al. (2013). A norovirus outbreak related to contaminated surfaces. Journal of Infectious Diseases 208(2): 295-298.</w:t>
      </w:r>
    </w:p>
    <w:p w14:paraId="130B7D5A" w14:textId="77777777" w:rsidR="0037011B" w:rsidRDefault="0037011B" w:rsidP="0037011B">
      <w:pPr>
        <w:pStyle w:val="ListParagraph"/>
        <w:numPr>
          <w:ilvl w:val="0"/>
          <w:numId w:val="48"/>
        </w:numPr>
        <w:spacing w:before="240" w:after="160" w:line="276" w:lineRule="auto"/>
      </w:pPr>
      <w:r>
        <w:t>Smith, K. C., et al. (2017). An outbreak of norovirus GI-6 infection following a wedding in North West England. Epidemiology and Infection 145(6): 1239-1245.</w:t>
      </w:r>
    </w:p>
    <w:p w14:paraId="3AD49E7E" w14:textId="77777777" w:rsidR="0037011B" w:rsidRDefault="0037011B" w:rsidP="0037011B">
      <w:pPr>
        <w:pStyle w:val="ListParagraph"/>
        <w:numPr>
          <w:ilvl w:val="0"/>
          <w:numId w:val="48"/>
        </w:numPr>
        <w:spacing w:before="240" w:after="160" w:line="276" w:lineRule="auto"/>
      </w:pPr>
      <w:r>
        <w:t xml:space="preserve">Thornley CN, Emslie NA, </w:t>
      </w:r>
      <w:proofErr w:type="spellStart"/>
      <w:r>
        <w:t>Sprott</w:t>
      </w:r>
      <w:proofErr w:type="spellEnd"/>
      <w:r>
        <w:t xml:space="preserve"> TW, Greening GE, </w:t>
      </w:r>
      <w:proofErr w:type="spellStart"/>
      <w:r>
        <w:t>Rapana</w:t>
      </w:r>
      <w:proofErr w:type="spellEnd"/>
      <w:r>
        <w:t xml:space="preserve"> JP. Recurring norovirus transmission on an airplane. Clin. Infect. Dis. 53, 515–520 (2011).</w:t>
      </w:r>
    </w:p>
    <w:p w14:paraId="09D1157A" w14:textId="77777777" w:rsidR="0037011B" w:rsidRDefault="0037011B" w:rsidP="0037011B">
      <w:pPr>
        <w:pStyle w:val="ListParagraph"/>
        <w:numPr>
          <w:ilvl w:val="0"/>
          <w:numId w:val="48"/>
        </w:numPr>
        <w:spacing w:before="240" w:after="160" w:line="276" w:lineRule="auto"/>
      </w:pPr>
      <w:r>
        <w:t>Thornton S, Davies D, Chapman F, et al. Detection of Norwalk-like virus infection aboard two U.S. Navy ships. Mil Med 2002;167:826-830</w:t>
      </w:r>
    </w:p>
    <w:p w14:paraId="3531AAA9" w14:textId="77777777" w:rsidR="0037011B" w:rsidRDefault="0037011B" w:rsidP="0037011B">
      <w:pPr>
        <w:pStyle w:val="ListParagraph"/>
        <w:numPr>
          <w:ilvl w:val="0"/>
          <w:numId w:val="48"/>
        </w:numPr>
        <w:spacing w:before="240" w:after="160" w:line="276" w:lineRule="auto"/>
      </w:pPr>
      <w:r>
        <w:t xml:space="preserve">Verhoef, L., et al. (2008). Multiple exposures during a norovirus outbreak on a river-cruise sailing through Europe, 2006. Euro surveillance : bulletin </w:t>
      </w:r>
      <w:proofErr w:type="spellStart"/>
      <w:r>
        <w:t>europeen</w:t>
      </w:r>
      <w:proofErr w:type="spellEnd"/>
      <w:r>
        <w:t xml:space="preserve"> sur les maladies </w:t>
      </w:r>
      <w:proofErr w:type="spellStart"/>
      <w:r>
        <w:t>transmissibles</w:t>
      </w:r>
      <w:proofErr w:type="spellEnd"/>
      <w:r>
        <w:t xml:space="preserve"> = European communicable disease bulletin 13(24).</w:t>
      </w:r>
    </w:p>
    <w:p w14:paraId="4D6CD7DB" w14:textId="77777777" w:rsidR="0037011B" w:rsidRDefault="0037011B" w:rsidP="0037011B">
      <w:pPr>
        <w:pStyle w:val="ListParagraph"/>
        <w:numPr>
          <w:ilvl w:val="0"/>
          <w:numId w:val="48"/>
        </w:numPr>
        <w:spacing w:before="240" w:after="160" w:line="276" w:lineRule="auto"/>
      </w:pPr>
      <w:r>
        <w:t>Hu H, et al. Epidemiology of norovirus gastroenteritis outbreaks in two primary schools in a city in eastern China. American Journal of Infection Control 2013; 41: e107–109</w:t>
      </w:r>
    </w:p>
    <w:p w14:paraId="63A1CAD1" w14:textId="77777777" w:rsidR="0037011B" w:rsidRDefault="0037011B" w:rsidP="0037011B">
      <w:pPr>
        <w:pStyle w:val="ListParagraph"/>
        <w:numPr>
          <w:ilvl w:val="0"/>
          <w:numId w:val="48"/>
        </w:numPr>
        <w:spacing w:before="240" w:after="160" w:line="276" w:lineRule="auto"/>
      </w:pPr>
      <w:r>
        <w:t>Liu B., Wang Y., Jia L., Tian Y., Wang X., Dong S. et al. Norovirus Detection in Environmental Samples from Norovirus Outbreaks in Schools and Kindergartens — Beijing Municipality, China, October--December 2020[ J]. China CDC Weekly , 2021, 3(33): 702-705</w:t>
      </w:r>
    </w:p>
    <w:p w14:paraId="50EEA118" w14:textId="77777777" w:rsidR="0037011B" w:rsidRDefault="0037011B" w:rsidP="0037011B">
      <w:pPr>
        <w:pStyle w:val="ListParagraph"/>
        <w:numPr>
          <w:ilvl w:val="0"/>
          <w:numId w:val="48"/>
        </w:numPr>
        <w:spacing w:before="240" w:after="160" w:line="276" w:lineRule="auto"/>
      </w:pPr>
      <w:r>
        <w:lastRenderedPageBreak/>
        <w:t>Boxman, I. L. A., et al. (2009). Environmental swabs as a tool in norovirus outbreak investigation, including outbreaks on cruise ships. Journal of Food Protection 72(1): 111-119.</w:t>
      </w:r>
    </w:p>
    <w:p w14:paraId="6DA70882" w14:textId="77777777" w:rsidR="0037011B" w:rsidRDefault="0037011B" w:rsidP="0037011B">
      <w:pPr>
        <w:pStyle w:val="ListParagraph"/>
        <w:numPr>
          <w:ilvl w:val="0"/>
          <w:numId w:val="48"/>
        </w:numPr>
        <w:spacing w:before="240" w:after="160" w:line="276" w:lineRule="auto"/>
      </w:pPr>
      <w:r>
        <w:t>Boxman, I. L. A., et al. (2015). Environmental testing for norovirus in various institutional settings using catering companies as sentinels for norovirus prevalence among the general population. Food Control 47: 98-102.</w:t>
      </w:r>
    </w:p>
    <w:p w14:paraId="3BFE478E" w14:textId="77777777" w:rsidR="0037011B" w:rsidRDefault="0037011B" w:rsidP="0037011B">
      <w:pPr>
        <w:pStyle w:val="ListParagraph"/>
        <w:numPr>
          <w:ilvl w:val="0"/>
          <w:numId w:val="48"/>
        </w:numPr>
        <w:spacing w:before="240" w:after="160" w:line="276" w:lineRule="auto"/>
      </w:pPr>
      <w:r>
        <w:t>Carducci, A., et al. (2011). Environmental survey to assess viral contamination of air and surfaces in hospital settings. Journal of Hospital Infection 77(3): 242-247.</w:t>
      </w:r>
    </w:p>
    <w:p w14:paraId="250BF4D2" w14:textId="77777777" w:rsidR="0037011B" w:rsidRDefault="0037011B" w:rsidP="0037011B">
      <w:pPr>
        <w:pStyle w:val="ListParagraph"/>
        <w:numPr>
          <w:ilvl w:val="0"/>
          <w:numId w:val="48"/>
        </w:numPr>
        <w:spacing w:before="240" w:after="160" w:line="276" w:lineRule="auto"/>
      </w:pPr>
      <w:r>
        <w:t xml:space="preserve">Gallimore, C. I., C. Taylor, A. R. </w:t>
      </w:r>
      <w:proofErr w:type="spellStart"/>
      <w:r>
        <w:t>Gennery</w:t>
      </w:r>
      <w:proofErr w:type="spellEnd"/>
      <w:r>
        <w:t xml:space="preserve">, A. J. Cant, A. Galloway, M. </w:t>
      </w:r>
      <w:proofErr w:type="spellStart"/>
      <w:r>
        <w:t>Iturriza-Gomara</w:t>
      </w:r>
      <w:proofErr w:type="spellEnd"/>
      <w:r>
        <w:t xml:space="preserve">, and J. J. Gray. 2006. Environmental monitoring for gastroenteric viruses in a primary immunodeficiency unit. J. Clin. </w:t>
      </w:r>
      <w:proofErr w:type="spellStart"/>
      <w:r>
        <w:t>Microbiol</w:t>
      </w:r>
      <w:proofErr w:type="spellEnd"/>
      <w:r>
        <w:t>. 44:395–399.</w:t>
      </w:r>
    </w:p>
    <w:p w14:paraId="56BBD4C9" w14:textId="77777777" w:rsidR="0037011B" w:rsidRDefault="0037011B" w:rsidP="0037011B">
      <w:pPr>
        <w:pStyle w:val="ListParagraph"/>
        <w:numPr>
          <w:ilvl w:val="0"/>
          <w:numId w:val="48"/>
        </w:numPr>
        <w:spacing w:before="240" w:after="160" w:line="276" w:lineRule="auto"/>
      </w:pPr>
      <w:r>
        <w:t xml:space="preserve">Gallimore, C. I., et al. (2008). Contamination of the hospital environment with gastroenteric viruses: Comparison of two </w:t>
      </w:r>
      <w:proofErr w:type="spellStart"/>
      <w:r>
        <w:t>pediatric</w:t>
      </w:r>
      <w:proofErr w:type="spellEnd"/>
      <w:r>
        <w:t xml:space="preserve"> wards over a winter season. Journal of Clinical Microbiology 46(9): 3112-3115.</w:t>
      </w:r>
    </w:p>
    <w:p w14:paraId="7EDEFB35" w14:textId="77777777" w:rsidR="0037011B" w:rsidRDefault="0037011B" w:rsidP="0037011B">
      <w:pPr>
        <w:pStyle w:val="ListParagraph"/>
        <w:numPr>
          <w:ilvl w:val="0"/>
          <w:numId w:val="48"/>
        </w:numPr>
        <w:spacing w:before="240" w:after="160" w:line="276" w:lineRule="auto"/>
      </w:pPr>
      <w:proofErr w:type="spellStart"/>
      <w:r>
        <w:t>Morter</w:t>
      </w:r>
      <w:proofErr w:type="spellEnd"/>
      <w:r>
        <w:t xml:space="preserve"> S, Bennet G, Fish J, et al. Norovirus in the hospital setting: virus introduction and spread within the hospital environment. J Hosp Infect 2011;77:106e112</w:t>
      </w:r>
    </w:p>
    <w:p w14:paraId="4B581870" w14:textId="77777777" w:rsidR="0037011B" w:rsidRDefault="0037011B" w:rsidP="0037011B">
      <w:pPr>
        <w:pStyle w:val="ListParagraph"/>
        <w:numPr>
          <w:ilvl w:val="0"/>
          <w:numId w:val="48"/>
        </w:numPr>
        <w:spacing w:before="240" w:after="160" w:line="276" w:lineRule="auto"/>
      </w:pPr>
      <w:r>
        <w:t xml:space="preserve">Pankhurst L, Cloutman-Green E, Canales M, </w:t>
      </w:r>
      <w:proofErr w:type="spellStart"/>
      <w:r>
        <w:t>D'arcy</w:t>
      </w:r>
      <w:proofErr w:type="spellEnd"/>
      <w:r>
        <w:t xml:space="preserve"> N, Hartley JC. Routine monitoring of adenovirus and norovirus within the health care environment. Am. J. Infect. Control 42(11), 1229–1232 (2014)</w:t>
      </w:r>
    </w:p>
    <w:p w14:paraId="0DAE6804" w14:textId="77777777" w:rsidR="0037011B" w:rsidRDefault="0037011B" w:rsidP="0037011B">
      <w:pPr>
        <w:pStyle w:val="ListParagraph"/>
        <w:numPr>
          <w:ilvl w:val="0"/>
          <w:numId w:val="48"/>
        </w:numPr>
        <w:spacing w:before="240" w:after="160" w:line="276" w:lineRule="auto"/>
      </w:pPr>
      <w:proofErr w:type="spellStart"/>
      <w:r>
        <w:t>Teesing</w:t>
      </w:r>
      <w:proofErr w:type="spellEnd"/>
      <w:r>
        <w:t>, G. R., et al. (2021). Association of environmental surface contamination with hand hygiene and infections in nursing homes: a prospective cohort study. Infection prevention in practice 3(2): 100129.</w:t>
      </w:r>
    </w:p>
    <w:p w14:paraId="76D9276F" w14:textId="77777777" w:rsidR="0037011B" w:rsidRDefault="0037011B" w:rsidP="0037011B">
      <w:pPr>
        <w:pStyle w:val="ListParagraph"/>
        <w:numPr>
          <w:ilvl w:val="0"/>
          <w:numId w:val="48"/>
        </w:numPr>
        <w:spacing w:before="240" w:after="160" w:line="276" w:lineRule="auto"/>
      </w:pPr>
      <w:proofErr w:type="spellStart"/>
      <w:r>
        <w:t>Verani</w:t>
      </w:r>
      <w:proofErr w:type="spellEnd"/>
      <w:r>
        <w:t>, M., et al. (2014). Viral contamination of aerosol and surfaces through toilet use in health care and other settings. American Journal of Infection Control 42(7): 758-762.</w:t>
      </w:r>
    </w:p>
    <w:p w14:paraId="03CAC031" w14:textId="77777777" w:rsidR="0037011B" w:rsidRDefault="0037011B" w:rsidP="0037011B">
      <w:pPr>
        <w:pStyle w:val="ListParagraph"/>
        <w:numPr>
          <w:ilvl w:val="0"/>
          <w:numId w:val="48"/>
        </w:numPr>
        <w:spacing w:before="240" w:after="160" w:line="276" w:lineRule="auto"/>
      </w:pPr>
      <w:proofErr w:type="spellStart"/>
      <w:r>
        <w:t>Xerry</w:t>
      </w:r>
      <w:proofErr w:type="spellEnd"/>
      <w:r>
        <w:t xml:space="preserve">, J., et al. (2010). Tracking environmental norovirus contamination in a </w:t>
      </w:r>
      <w:proofErr w:type="spellStart"/>
      <w:r>
        <w:t>pediatric</w:t>
      </w:r>
      <w:proofErr w:type="spellEnd"/>
      <w:r>
        <w:t xml:space="preserve"> primary immunodeficiency unit. Journal of Clinical Microbiology 48(7): 2552-2556.</w:t>
      </w:r>
    </w:p>
    <w:p w14:paraId="143BDCD0" w14:textId="77777777" w:rsidR="0037011B" w:rsidRDefault="0037011B" w:rsidP="0037011B">
      <w:pPr>
        <w:pStyle w:val="ListParagraph"/>
        <w:numPr>
          <w:ilvl w:val="0"/>
          <w:numId w:val="48"/>
        </w:numPr>
        <w:spacing w:before="240" w:after="160" w:line="276" w:lineRule="auto"/>
      </w:pPr>
      <w:proofErr w:type="spellStart"/>
      <w:r>
        <w:t>Zulli</w:t>
      </w:r>
      <w:proofErr w:type="spellEnd"/>
      <w:r>
        <w:t>, A., et al. (2020). Occurrence of respiratory viruses on school desks. American Journal of Infection Control.</w:t>
      </w:r>
    </w:p>
    <w:p w14:paraId="5792D634" w14:textId="77777777" w:rsidR="0037011B" w:rsidRDefault="0037011B" w:rsidP="0037011B">
      <w:pPr>
        <w:pStyle w:val="ListParagraph"/>
        <w:numPr>
          <w:ilvl w:val="0"/>
          <w:numId w:val="48"/>
        </w:numPr>
        <w:spacing w:before="240" w:after="160" w:line="276" w:lineRule="auto"/>
      </w:pPr>
      <w:proofErr w:type="spellStart"/>
      <w:r>
        <w:t>Schvoerer</w:t>
      </w:r>
      <w:proofErr w:type="spellEnd"/>
      <w:r>
        <w:t xml:space="preserve"> E, Bonnet F, Dubois V, Rogues AM, </w:t>
      </w:r>
      <w:proofErr w:type="spellStart"/>
      <w:r>
        <w:t>Gachie</w:t>
      </w:r>
      <w:proofErr w:type="spellEnd"/>
      <w:r>
        <w:t xml:space="preserve"> JP, Lafon ME, et al. A hospital outbreak of gastroenteritis possibly related to the contamination of tap water by a small round structured virus. J Hosp Infect 1999;43:149–54</w:t>
      </w:r>
    </w:p>
    <w:p w14:paraId="37305D09" w14:textId="77777777" w:rsidR="0037011B" w:rsidRDefault="0037011B" w:rsidP="0037011B">
      <w:pPr>
        <w:pStyle w:val="ListParagraph"/>
        <w:numPr>
          <w:ilvl w:val="0"/>
          <w:numId w:val="48"/>
        </w:numPr>
        <w:spacing w:before="240" w:after="160" w:line="276" w:lineRule="auto"/>
      </w:pPr>
      <w:r>
        <w:t>Ward, J, Neill, A, McCall, B, Stafford, R, Smith, G and Davison, R. 2000. Three nursing home outbreaks of Norwalk-like virus in Brisbane in 1999. CDI, 24: 229–233</w:t>
      </w:r>
    </w:p>
    <w:p w14:paraId="556DFB6F" w14:textId="77777777" w:rsidR="0037011B" w:rsidRDefault="0037011B" w:rsidP="0037011B">
      <w:pPr>
        <w:pStyle w:val="ListParagraph"/>
        <w:numPr>
          <w:ilvl w:val="0"/>
          <w:numId w:val="48"/>
        </w:numPr>
        <w:spacing w:before="240" w:after="160" w:line="276" w:lineRule="auto"/>
      </w:pPr>
      <w:r>
        <w:t xml:space="preserve">Zhang L., </w:t>
      </w:r>
      <w:proofErr w:type="spellStart"/>
      <w:r>
        <w:t>Xiu'E</w:t>
      </w:r>
      <w:proofErr w:type="spellEnd"/>
      <w:r>
        <w:t xml:space="preserve"> Li, Rui Wu, </w:t>
      </w:r>
      <w:proofErr w:type="spellStart"/>
      <w:r>
        <w:t>Hailong</w:t>
      </w:r>
      <w:proofErr w:type="spellEnd"/>
      <w:r>
        <w:t xml:space="preserve"> Chen, </w:t>
      </w:r>
      <w:proofErr w:type="spellStart"/>
      <w:r>
        <w:t>Jifeng</w:t>
      </w:r>
      <w:proofErr w:type="spellEnd"/>
      <w:r>
        <w:t xml:space="preserve"> Liu, </w:t>
      </w:r>
      <w:proofErr w:type="spellStart"/>
      <w:r>
        <w:t>Zengguo</w:t>
      </w:r>
      <w:proofErr w:type="spellEnd"/>
      <w:r>
        <w:t xml:space="preserve"> Wang, Yuan Xing, Hafiz Muhammad </w:t>
      </w:r>
      <w:proofErr w:type="spellStart"/>
      <w:r>
        <w:t>Ishaq</w:t>
      </w:r>
      <w:proofErr w:type="spellEnd"/>
      <w:r>
        <w:t xml:space="preserve">, </w:t>
      </w:r>
      <w:proofErr w:type="spellStart"/>
      <w:r>
        <w:t>Jingjun</w:t>
      </w:r>
      <w:proofErr w:type="spellEnd"/>
      <w:r>
        <w:t xml:space="preserve"> Wang, </w:t>
      </w:r>
      <w:proofErr w:type="spellStart"/>
      <w:r>
        <w:t>Pengbo</w:t>
      </w:r>
      <w:proofErr w:type="spellEnd"/>
      <w:r>
        <w:t xml:space="preserve"> Yu, </w:t>
      </w:r>
      <w:proofErr w:type="spellStart"/>
      <w:r>
        <w:t>Jiru</w:t>
      </w:r>
      <w:proofErr w:type="spellEnd"/>
      <w:r>
        <w:t xml:space="preserve"> Xu, </w:t>
      </w:r>
      <w:proofErr w:type="spellStart"/>
      <w:r>
        <w:t>Chaofeng</w:t>
      </w:r>
      <w:proofErr w:type="spellEnd"/>
      <w:r>
        <w:t xml:space="preserve"> Ma; A gastroenteritis outbreak associated with drinking water in a college in northwest China. J Water Health 1 August 2018; 16 (4): 508–515</w:t>
      </w:r>
    </w:p>
    <w:p w14:paraId="7753B101" w14:textId="77777777" w:rsidR="0037011B" w:rsidRDefault="0037011B" w:rsidP="0037011B">
      <w:pPr>
        <w:pStyle w:val="ListParagraph"/>
        <w:numPr>
          <w:ilvl w:val="0"/>
          <w:numId w:val="48"/>
        </w:numPr>
        <w:spacing w:before="240" w:after="160" w:line="276" w:lineRule="auto"/>
      </w:pPr>
      <w:r>
        <w:lastRenderedPageBreak/>
        <w:t>Zhou X, et al. Epidemiological and molecular analysis of a waterborne outbreak of norovirus GII.4. Epidemiology and Infection 2012; 140: 2282–2289</w:t>
      </w:r>
    </w:p>
    <w:p w14:paraId="60BA71D7" w14:textId="77777777" w:rsidR="0037011B" w:rsidRDefault="0037011B" w:rsidP="0037011B">
      <w:pPr>
        <w:pStyle w:val="ListParagraph"/>
        <w:numPr>
          <w:ilvl w:val="0"/>
          <w:numId w:val="48"/>
        </w:numPr>
        <w:spacing w:before="240" w:after="160" w:line="276" w:lineRule="auto"/>
      </w:pPr>
      <w:r>
        <w:t>ZHOU, N., ZHANG, H., LIN, X., HOU, P., WANG, S., TAO, Z., . . . XU, A. (2016). A waterborne norovirus gastroenteritis outbreak in a school, eastern China. Epidemiology and Infection, 144(6), 1212-1219</w:t>
      </w:r>
    </w:p>
    <w:p w14:paraId="6BAE3652" w14:textId="77777777" w:rsidR="0037011B" w:rsidRDefault="0037011B" w:rsidP="0037011B">
      <w:pPr>
        <w:pStyle w:val="ListParagraph"/>
        <w:numPr>
          <w:ilvl w:val="0"/>
          <w:numId w:val="48"/>
        </w:numPr>
        <w:spacing w:before="240" w:after="160" w:line="276" w:lineRule="auto"/>
      </w:pPr>
      <w:r>
        <w:t xml:space="preserve">Zhou, X.; Kong, D.-G.; Li, J.; Pang, B.-B.; Zhao, Y.; Zhou, J.-B.; Zhang, T.; Xu, J.-Q.; Kobayashi, N.; Wang, Y.-H. An outbreak of gastroenteritis associated with GII.17 norovirus-contaminated secondary water supply system in Wuhan, China, 2017. Food Environ. </w:t>
      </w:r>
      <w:proofErr w:type="spellStart"/>
      <w:r>
        <w:t>Virol</w:t>
      </w:r>
      <w:proofErr w:type="spellEnd"/>
      <w:r>
        <w:t>. 2019, 11, 126–137</w:t>
      </w:r>
    </w:p>
    <w:p w14:paraId="1566D33D" w14:textId="77777777" w:rsidR="0037011B" w:rsidRDefault="0037011B" w:rsidP="0037011B">
      <w:pPr>
        <w:pStyle w:val="ListParagraph"/>
        <w:numPr>
          <w:ilvl w:val="0"/>
          <w:numId w:val="48"/>
        </w:numPr>
        <w:spacing w:before="240" w:after="160" w:line="276" w:lineRule="auto"/>
      </w:pPr>
      <w:r>
        <w:t xml:space="preserve">Calderon-Margalit R, Sheffer R, Halperin T, Orr N, Cohen D, </w:t>
      </w:r>
      <w:proofErr w:type="spellStart"/>
      <w:r>
        <w:t>Shohat</w:t>
      </w:r>
      <w:proofErr w:type="spellEnd"/>
      <w:r>
        <w:t xml:space="preserve"> T. 1999. A large-scale gastroenteritis outbreak associated with norovirus in nursing homes. Epidemiol Infect. 133:35</w:t>
      </w:r>
    </w:p>
    <w:p w14:paraId="24C290EC" w14:textId="77777777" w:rsidR="0037011B" w:rsidRDefault="0037011B" w:rsidP="0037011B">
      <w:pPr>
        <w:pStyle w:val="ListParagraph"/>
        <w:numPr>
          <w:ilvl w:val="0"/>
          <w:numId w:val="48"/>
        </w:numPr>
        <w:spacing w:before="240" w:after="160" w:line="276" w:lineRule="auto"/>
      </w:pPr>
      <w:r>
        <w:t>Domenech-Sanchez, A., et al. (2009). Gastroenteritis outbreaks in 2 tourist resorts, Dominican Republic. Emerging Infectious Diseases 15(11): 1877-1878.</w:t>
      </w:r>
    </w:p>
    <w:p w14:paraId="573E6555" w14:textId="77777777" w:rsidR="0037011B" w:rsidRDefault="0037011B" w:rsidP="0037011B">
      <w:pPr>
        <w:pStyle w:val="ListParagraph"/>
        <w:numPr>
          <w:ilvl w:val="0"/>
          <w:numId w:val="48"/>
        </w:numPr>
        <w:spacing w:before="240" w:after="160" w:line="276" w:lineRule="auto"/>
      </w:pPr>
      <w:proofErr w:type="spellStart"/>
      <w:r>
        <w:t>Altzibar</w:t>
      </w:r>
      <w:proofErr w:type="spellEnd"/>
      <w:r>
        <w:t>, J. M., et al. (2015). Outbreak of acute gastroenteritis caused by contamination of drinking water in a factory, the Basque Country. Journal of Water and Health 13(1): 168-173.</w:t>
      </w:r>
    </w:p>
    <w:p w14:paraId="0FC23F2E" w14:textId="77777777" w:rsidR="0037011B" w:rsidRDefault="0037011B" w:rsidP="0037011B">
      <w:pPr>
        <w:pStyle w:val="ListParagraph"/>
        <w:numPr>
          <w:ilvl w:val="0"/>
          <w:numId w:val="48"/>
        </w:numPr>
        <w:spacing w:before="240" w:after="160" w:line="276" w:lineRule="auto"/>
      </w:pPr>
      <w:r>
        <w:t xml:space="preserve">Anderson AD, </w:t>
      </w:r>
      <w:proofErr w:type="spellStart"/>
      <w:r>
        <w:t>Heryford</w:t>
      </w:r>
      <w:proofErr w:type="spellEnd"/>
      <w:r>
        <w:t xml:space="preserve"> AG, </w:t>
      </w:r>
      <w:proofErr w:type="spellStart"/>
      <w:r>
        <w:t>Sarisky</w:t>
      </w:r>
      <w:proofErr w:type="spellEnd"/>
      <w:r>
        <w:t xml:space="preserve"> JP, Higgins C, Monroe SS, Beard RS, et al. A waterborne outbreak of Norwalk-like virus among snowmobilers—Wyoming, 2001. J Infect Dis 2003;187:303–6.</w:t>
      </w:r>
    </w:p>
    <w:p w14:paraId="29FE7E43" w14:textId="77777777" w:rsidR="0037011B" w:rsidRDefault="0037011B" w:rsidP="0037011B">
      <w:pPr>
        <w:pStyle w:val="ListParagraph"/>
        <w:numPr>
          <w:ilvl w:val="0"/>
          <w:numId w:val="48"/>
        </w:numPr>
        <w:spacing w:before="240" w:after="160" w:line="276" w:lineRule="auto"/>
      </w:pPr>
      <w:proofErr w:type="spellStart"/>
      <w:r>
        <w:t>Beller</w:t>
      </w:r>
      <w:proofErr w:type="spellEnd"/>
      <w:r>
        <w:t xml:space="preserve"> M, Ellis A, Lee SH, </w:t>
      </w:r>
      <w:proofErr w:type="spellStart"/>
      <w:r>
        <w:t>Drebot</w:t>
      </w:r>
      <w:proofErr w:type="spellEnd"/>
      <w:r>
        <w:t xml:space="preserve"> MA, </w:t>
      </w:r>
      <w:proofErr w:type="spellStart"/>
      <w:r>
        <w:t>Jenkerson</w:t>
      </w:r>
      <w:proofErr w:type="spellEnd"/>
      <w:r>
        <w:t xml:space="preserve"> SA, Funk E, et al. Outbreak of viral gastroenteritis due to a contaminated well International consequences. JAMA 1997;278(7):563–8.</w:t>
      </w:r>
    </w:p>
    <w:p w14:paraId="233E8CCF" w14:textId="77777777" w:rsidR="0037011B" w:rsidRDefault="0037011B" w:rsidP="0037011B">
      <w:pPr>
        <w:pStyle w:val="ListParagraph"/>
        <w:numPr>
          <w:ilvl w:val="0"/>
          <w:numId w:val="48"/>
        </w:numPr>
        <w:spacing w:before="240" w:after="160" w:line="276" w:lineRule="auto"/>
      </w:pPr>
      <w:r>
        <w:t xml:space="preserve">Borchardt, M.A.; Bradbury, K.R.; Alexander, E.C., Jr.; </w:t>
      </w:r>
      <w:proofErr w:type="spellStart"/>
      <w:r>
        <w:t>Kolberg</w:t>
      </w:r>
      <w:proofErr w:type="spellEnd"/>
      <w:r>
        <w:t>, R.J.; Alexander, S.C.; Archer, J.R. Norovirus outbreak caused by a new septic system in a dolomite aquifer ground water. Ground Water 2011, 49, 85-97</w:t>
      </w:r>
    </w:p>
    <w:p w14:paraId="31ACAB14" w14:textId="77777777" w:rsidR="0037011B" w:rsidRDefault="0037011B" w:rsidP="0037011B">
      <w:pPr>
        <w:pStyle w:val="ListParagraph"/>
        <w:numPr>
          <w:ilvl w:val="0"/>
          <w:numId w:val="48"/>
        </w:numPr>
        <w:spacing w:before="240" w:after="160" w:line="276" w:lineRule="auto"/>
      </w:pPr>
      <w:r>
        <w:t>Brown CM, Cann JW, Simons G, et al. Outbreak of Norwalk virus in a Caribbean island resort: application of molecular diagnostics to ascertain the vehicle of infection. Epidemiol Infect 2001;126:425-432</w:t>
      </w:r>
    </w:p>
    <w:p w14:paraId="482BFBDA" w14:textId="77777777" w:rsidR="0037011B" w:rsidRDefault="0037011B" w:rsidP="0037011B">
      <w:pPr>
        <w:pStyle w:val="ListParagraph"/>
        <w:numPr>
          <w:ilvl w:val="0"/>
          <w:numId w:val="48"/>
        </w:numPr>
        <w:spacing w:before="240" w:after="160" w:line="276" w:lineRule="auto"/>
      </w:pPr>
      <w:r>
        <w:t xml:space="preserve">Carol M, Guadalupe-Fernández V, </w:t>
      </w:r>
      <w:proofErr w:type="spellStart"/>
      <w:r>
        <w:t>Rius</w:t>
      </w:r>
      <w:proofErr w:type="spellEnd"/>
      <w:r>
        <w:t xml:space="preserve"> C, Soldevila N, </w:t>
      </w:r>
      <w:proofErr w:type="spellStart"/>
      <w:r>
        <w:t>Razquin</w:t>
      </w:r>
      <w:proofErr w:type="spellEnd"/>
      <w:r>
        <w:t xml:space="preserve"> E, </w:t>
      </w:r>
      <w:proofErr w:type="spellStart"/>
      <w:r>
        <w:t>Guix</w:t>
      </w:r>
      <w:proofErr w:type="spellEnd"/>
      <w:r>
        <w:t xml:space="preserve"> S, Dominguez A, on behalf of the Working Group for the Study of Outbreaks of Acute Gastroenteritis in Catalonia. A Waterborne Gastroenteritis Outbreak Caused by a GII Norovirus in a Holiday Camp in Catalonia (Spain), 2017. Viruses. 2021; 13(9):1792</w:t>
      </w:r>
    </w:p>
    <w:p w14:paraId="5A69AF03" w14:textId="77777777" w:rsidR="0037011B" w:rsidRDefault="0037011B" w:rsidP="0037011B">
      <w:pPr>
        <w:pStyle w:val="ListParagraph"/>
        <w:numPr>
          <w:ilvl w:val="0"/>
          <w:numId w:val="48"/>
        </w:numPr>
        <w:spacing w:before="240" w:after="160" w:line="276" w:lineRule="auto"/>
      </w:pPr>
      <w:r>
        <w:t xml:space="preserve">Castro, L, Cardoso, A I, </w:t>
      </w:r>
      <w:proofErr w:type="spellStart"/>
      <w:r>
        <w:t>Rebelo</w:t>
      </w:r>
      <w:proofErr w:type="spellEnd"/>
      <w:r>
        <w:t>-Andrade, H, Gray, J, Saraiva, M and Gonçalves, G. 2004. Norovirus outbreak in a school in the north of Portugal. Eurosurveillance, 8: 13</w:t>
      </w:r>
    </w:p>
    <w:p w14:paraId="236BF79C" w14:textId="77777777" w:rsidR="0037011B" w:rsidRDefault="0037011B" w:rsidP="0037011B">
      <w:pPr>
        <w:pStyle w:val="ListParagraph"/>
        <w:numPr>
          <w:ilvl w:val="0"/>
          <w:numId w:val="48"/>
        </w:numPr>
        <w:spacing w:before="240" w:after="160" w:line="276" w:lineRule="auto"/>
      </w:pPr>
      <w:r>
        <w:t xml:space="preserve">CDC. Brief report: gastroenteritis among attendees at a summer camp—Wyoming, June–July 2006. </w:t>
      </w:r>
      <w:proofErr w:type="spellStart"/>
      <w:r>
        <w:t>Morb</w:t>
      </w:r>
      <w:proofErr w:type="spellEnd"/>
      <w:r>
        <w:t xml:space="preserve"> Mortal </w:t>
      </w:r>
      <w:proofErr w:type="spellStart"/>
      <w:r>
        <w:t>Wkly</w:t>
      </w:r>
      <w:proofErr w:type="spellEnd"/>
      <w:r>
        <w:t xml:space="preserve"> Rep 2007;56:368–70</w:t>
      </w:r>
    </w:p>
    <w:p w14:paraId="0006D645" w14:textId="77777777" w:rsidR="0037011B" w:rsidRDefault="0037011B" w:rsidP="0037011B">
      <w:pPr>
        <w:pStyle w:val="ListParagraph"/>
        <w:numPr>
          <w:ilvl w:val="0"/>
          <w:numId w:val="48"/>
        </w:numPr>
        <w:spacing w:before="240" w:after="160" w:line="276" w:lineRule="auto"/>
      </w:pPr>
      <w:r>
        <w:t xml:space="preserve">Di </w:t>
      </w:r>
      <w:proofErr w:type="spellStart"/>
      <w:r>
        <w:t>Bartolo</w:t>
      </w:r>
      <w:proofErr w:type="spellEnd"/>
      <w:r>
        <w:t xml:space="preserve"> I, et al. Waterborne norovirus outbreak during a summer excursion in Northern Italy. New </w:t>
      </w:r>
      <w:proofErr w:type="spellStart"/>
      <w:r>
        <w:t>Microbiologica</w:t>
      </w:r>
      <w:proofErr w:type="spellEnd"/>
      <w:r>
        <w:t xml:space="preserve"> 2015; 38: 109–112.</w:t>
      </w:r>
    </w:p>
    <w:p w14:paraId="2156CA31" w14:textId="77777777" w:rsidR="0037011B" w:rsidRDefault="0037011B" w:rsidP="0037011B">
      <w:pPr>
        <w:pStyle w:val="ListParagraph"/>
        <w:numPr>
          <w:ilvl w:val="0"/>
          <w:numId w:val="48"/>
        </w:numPr>
        <w:spacing w:before="240" w:after="160" w:line="276" w:lineRule="auto"/>
      </w:pPr>
      <w:proofErr w:type="spellStart"/>
      <w:r>
        <w:lastRenderedPageBreak/>
        <w:t>Giammanco</w:t>
      </w:r>
      <w:proofErr w:type="spellEnd"/>
      <w:r>
        <w:t xml:space="preserve"> GM, et al. (2014) Investigation and control of a Norovirus outbreak of probable waterborne transmission through a municipal groundwater system. Journal of Water and Health 12, 452–464</w:t>
      </w:r>
    </w:p>
    <w:p w14:paraId="19978B54" w14:textId="77777777" w:rsidR="0037011B" w:rsidRDefault="0037011B" w:rsidP="0037011B">
      <w:pPr>
        <w:pStyle w:val="ListParagraph"/>
        <w:numPr>
          <w:ilvl w:val="0"/>
          <w:numId w:val="48"/>
        </w:numPr>
        <w:spacing w:before="240" w:after="160" w:line="276" w:lineRule="auto"/>
      </w:pPr>
      <w:proofErr w:type="spellStart"/>
      <w:r>
        <w:t>Giammanco</w:t>
      </w:r>
      <w:proofErr w:type="spellEnd"/>
      <w:r>
        <w:t xml:space="preserve"> et al. Waterborne Norovirus outbreak at a seaside resort likely originating from municipal water distribution system failure</w:t>
      </w:r>
    </w:p>
    <w:p w14:paraId="65C8C83D" w14:textId="77777777" w:rsidR="0037011B" w:rsidRDefault="0037011B" w:rsidP="0037011B">
      <w:pPr>
        <w:pStyle w:val="ListParagraph"/>
        <w:numPr>
          <w:ilvl w:val="0"/>
          <w:numId w:val="48"/>
        </w:numPr>
        <w:spacing w:before="240" w:after="160" w:line="276" w:lineRule="auto"/>
      </w:pPr>
      <w:r>
        <w:t>Hewitt J, Bell D, Simmons GC, Rivera-</w:t>
      </w:r>
      <w:proofErr w:type="spellStart"/>
      <w:r>
        <w:t>Aban</w:t>
      </w:r>
      <w:proofErr w:type="spellEnd"/>
      <w:r>
        <w:t xml:space="preserve"> M, Wolf S, Greening GE. Gastroenteritis outbreak caused by waterborne norovirus at a New Zealand ski resort. </w:t>
      </w:r>
      <w:proofErr w:type="spellStart"/>
      <w:r>
        <w:t>Appl</w:t>
      </w:r>
      <w:proofErr w:type="spellEnd"/>
      <w:r>
        <w:t xml:space="preserve"> Environ </w:t>
      </w:r>
      <w:proofErr w:type="spellStart"/>
      <w:r>
        <w:t>Microbiol</w:t>
      </w:r>
      <w:proofErr w:type="spellEnd"/>
      <w:r>
        <w:t xml:space="preserve"> 2007; 73:7853–7.</w:t>
      </w:r>
    </w:p>
    <w:p w14:paraId="62B6CB3D" w14:textId="77777777" w:rsidR="0037011B" w:rsidRDefault="0037011B" w:rsidP="0037011B">
      <w:pPr>
        <w:pStyle w:val="ListParagraph"/>
        <w:numPr>
          <w:ilvl w:val="0"/>
          <w:numId w:val="48"/>
        </w:numPr>
        <w:spacing w:before="240" w:after="160" w:line="276" w:lineRule="auto"/>
      </w:pPr>
      <w:proofErr w:type="spellStart"/>
      <w:r>
        <w:t>Hoebe</w:t>
      </w:r>
      <w:proofErr w:type="spellEnd"/>
      <w:r>
        <w:t xml:space="preserve"> CJ, </w:t>
      </w:r>
      <w:proofErr w:type="spellStart"/>
      <w:r>
        <w:t>Vennema</w:t>
      </w:r>
      <w:proofErr w:type="spellEnd"/>
      <w:r>
        <w:t xml:space="preserve"> H, de </w:t>
      </w:r>
      <w:proofErr w:type="spellStart"/>
      <w:r>
        <w:t>Roda</w:t>
      </w:r>
      <w:proofErr w:type="spellEnd"/>
      <w:r>
        <w:t xml:space="preserve"> </w:t>
      </w:r>
      <w:proofErr w:type="spellStart"/>
      <w:r>
        <w:t>Husman</w:t>
      </w:r>
      <w:proofErr w:type="spellEnd"/>
      <w:r>
        <w:t xml:space="preserve"> AM, van </w:t>
      </w:r>
      <w:proofErr w:type="spellStart"/>
      <w:r>
        <w:t>Duynhoven</w:t>
      </w:r>
      <w:proofErr w:type="spellEnd"/>
      <w:r>
        <w:t xml:space="preserve"> YT. Norovirus outbreak among primary schoolchildren who had played in a recreational water fountain. J Infect Dis 2004;189(4):699–705</w:t>
      </w:r>
    </w:p>
    <w:p w14:paraId="199FBF66" w14:textId="77777777" w:rsidR="0037011B" w:rsidRDefault="0037011B" w:rsidP="0037011B">
      <w:pPr>
        <w:pStyle w:val="ListParagraph"/>
        <w:numPr>
          <w:ilvl w:val="0"/>
          <w:numId w:val="48"/>
        </w:numPr>
        <w:spacing w:before="240" w:after="160" w:line="276" w:lineRule="auto"/>
      </w:pPr>
      <w:r>
        <w:t>Jack S., Bell D., Hewitt J. Norovirus contamination of a drinking water supply at a hotel resort. Vol 126 No 1387: 12 December 2013</w:t>
      </w:r>
    </w:p>
    <w:p w14:paraId="207E7689" w14:textId="77777777" w:rsidR="0037011B" w:rsidRDefault="0037011B" w:rsidP="0037011B">
      <w:pPr>
        <w:pStyle w:val="ListParagraph"/>
        <w:numPr>
          <w:ilvl w:val="0"/>
          <w:numId w:val="48"/>
        </w:numPr>
        <w:spacing w:before="240" w:after="160" w:line="276" w:lineRule="auto"/>
      </w:pPr>
      <w:r>
        <w:t>Jones et al. An Analysis of Water Quality in the Colorado River, 2003–04; An Investigation Into Recurring Outbreaks of Norovirus Among Rafters. Wilderness and Environmental Medicine, 20, 6 13 (2009)</w:t>
      </w:r>
    </w:p>
    <w:p w14:paraId="2E962E60" w14:textId="77777777" w:rsidR="0037011B" w:rsidRDefault="0037011B" w:rsidP="0037011B">
      <w:pPr>
        <w:pStyle w:val="ListParagraph"/>
        <w:numPr>
          <w:ilvl w:val="0"/>
          <w:numId w:val="48"/>
        </w:numPr>
        <w:spacing w:before="240" w:after="160" w:line="276" w:lineRule="auto"/>
      </w:pPr>
      <w:proofErr w:type="spellStart"/>
      <w:r>
        <w:t>Kauppinen</w:t>
      </w:r>
      <w:proofErr w:type="spellEnd"/>
      <w:r>
        <w:t xml:space="preserve"> A., </w:t>
      </w:r>
      <w:proofErr w:type="spellStart"/>
      <w:r>
        <w:t>Pitkenen</w:t>
      </w:r>
      <w:proofErr w:type="spellEnd"/>
      <w:r>
        <w:t xml:space="preserve"> T., Miettinen I.T. Persistent Norovirus Contamination of Groundwater Supplies in Two Waterborne Outbreaks. Food and Environmental Virology volume 10, pages39–50 (2018)</w:t>
      </w:r>
    </w:p>
    <w:p w14:paraId="527DF316" w14:textId="77777777" w:rsidR="0037011B" w:rsidRDefault="0037011B" w:rsidP="0037011B">
      <w:pPr>
        <w:pStyle w:val="ListParagraph"/>
        <w:numPr>
          <w:ilvl w:val="0"/>
          <w:numId w:val="48"/>
        </w:numPr>
        <w:spacing w:before="240" w:after="160" w:line="276" w:lineRule="auto"/>
      </w:pPr>
      <w:r>
        <w:t>Koh et al. An Outbreak of Gastroenteritis Caused by Norovirus-Contaminated Groundwater at a Waterpark in Korea. J Korean Med Sci 2011; 26: 28-32</w:t>
      </w:r>
    </w:p>
    <w:p w14:paraId="44E38781" w14:textId="77777777" w:rsidR="0037011B" w:rsidRDefault="0037011B" w:rsidP="0037011B">
      <w:pPr>
        <w:pStyle w:val="ListParagraph"/>
        <w:numPr>
          <w:ilvl w:val="0"/>
          <w:numId w:val="48"/>
        </w:numPr>
        <w:spacing w:before="240" w:after="160" w:line="276" w:lineRule="auto"/>
      </w:pPr>
      <w:proofErr w:type="spellStart"/>
      <w:r>
        <w:t>Kukkula</w:t>
      </w:r>
      <w:proofErr w:type="spellEnd"/>
      <w:r>
        <w:t xml:space="preserve"> M, </w:t>
      </w:r>
      <w:proofErr w:type="spellStart"/>
      <w:r>
        <w:t>Maunula</w:t>
      </w:r>
      <w:proofErr w:type="spellEnd"/>
      <w:r>
        <w:t xml:space="preserve"> L, </w:t>
      </w:r>
      <w:proofErr w:type="spellStart"/>
      <w:r>
        <w:t>Silvennoinen</w:t>
      </w:r>
      <w:proofErr w:type="spellEnd"/>
      <w:r>
        <w:t xml:space="preserve"> E. Outbreak of viral gastroenteritis due to drinking water contaminated by Norwalk-like viruses. J Infect Dis 1999; 180: 1771–1776</w:t>
      </w:r>
    </w:p>
    <w:p w14:paraId="67D24B02" w14:textId="77777777" w:rsidR="0037011B" w:rsidRDefault="0037011B" w:rsidP="0037011B">
      <w:pPr>
        <w:pStyle w:val="ListParagraph"/>
        <w:numPr>
          <w:ilvl w:val="0"/>
          <w:numId w:val="48"/>
        </w:numPr>
        <w:spacing w:before="240" w:after="160" w:line="276" w:lineRule="auto"/>
      </w:pPr>
      <w:r>
        <w:t>Li Y, et al. An outbreak of norovirus gastroenteritis associated with a secondary water supply system in a factory in south China. BMC Public Health 2013; 13: 283</w:t>
      </w:r>
    </w:p>
    <w:p w14:paraId="09948231" w14:textId="77777777" w:rsidR="0037011B" w:rsidRDefault="0037011B" w:rsidP="0037011B">
      <w:pPr>
        <w:pStyle w:val="ListParagraph"/>
        <w:numPr>
          <w:ilvl w:val="0"/>
          <w:numId w:val="48"/>
        </w:numPr>
        <w:spacing w:before="240" w:after="160" w:line="276" w:lineRule="auto"/>
      </w:pPr>
      <w:r>
        <w:t xml:space="preserve">Martinelli, D., Prato, R., </w:t>
      </w:r>
      <w:proofErr w:type="spellStart"/>
      <w:r>
        <w:t>Chironna</w:t>
      </w:r>
      <w:proofErr w:type="spellEnd"/>
      <w:r>
        <w:t xml:space="preserve">, M., </w:t>
      </w:r>
      <w:proofErr w:type="spellStart"/>
      <w:r>
        <w:t>Sallustio</w:t>
      </w:r>
      <w:proofErr w:type="spellEnd"/>
      <w:r>
        <w:t xml:space="preserve">, A., </w:t>
      </w:r>
      <w:proofErr w:type="spellStart"/>
      <w:r>
        <w:t>Caputi</w:t>
      </w:r>
      <w:proofErr w:type="spellEnd"/>
      <w:r>
        <w:t xml:space="preserve">, G., </w:t>
      </w:r>
      <w:proofErr w:type="spellStart"/>
      <w:r>
        <w:t>Conversano</w:t>
      </w:r>
      <w:proofErr w:type="spellEnd"/>
      <w:r>
        <w:t xml:space="preserve">, M., </w:t>
      </w:r>
      <w:proofErr w:type="spellStart"/>
      <w:r>
        <w:t>Ciofi</w:t>
      </w:r>
      <w:proofErr w:type="spellEnd"/>
      <w:r>
        <w:t xml:space="preserve"> </w:t>
      </w:r>
      <w:proofErr w:type="spellStart"/>
      <w:r>
        <w:t>Degli</w:t>
      </w:r>
      <w:proofErr w:type="spellEnd"/>
      <w:r>
        <w:t xml:space="preserve"> </w:t>
      </w:r>
      <w:proofErr w:type="spellStart"/>
      <w:r>
        <w:t>Atti</w:t>
      </w:r>
      <w:proofErr w:type="spellEnd"/>
      <w:r>
        <w:t xml:space="preserve">, M., </w:t>
      </w:r>
      <w:proofErr w:type="spellStart"/>
      <w:r>
        <w:t>D’Ancona</w:t>
      </w:r>
      <w:proofErr w:type="spellEnd"/>
      <w:r>
        <w:t xml:space="preserve">, F. P. &amp; </w:t>
      </w:r>
      <w:proofErr w:type="spellStart"/>
      <w:r>
        <w:t>Germinario</w:t>
      </w:r>
      <w:proofErr w:type="spellEnd"/>
      <w:r>
        <w:t xml:space="preserve">, C. A. Large outbreak of viral gastroenteritis caused by contaminated drinking water in Apulia, Italy, May–October 2006. Euro </w:t>
      </w:r>
      <w:proofErr w:type="spellStart"/>
      <w:r>
        <w:t>Surveill</w:t>
      </w:r>
      <w:proofErr w:type="spellEnd"/>
      <w:r>
        <w:t>. 12 (4), E070419.1</w:t>
      </w:r>
    </w:p>
    <w:p w14:paraId="21534BF3" w14:textId="77777777" w:rsidR="0037011B" w:rsidRDefault="0037011B" w:rsidP="0037011B">
      <w:pPr>
        <w:pStyle w:val="ListParagraph"/>
        <w:numPr>
          <w:ilvl w:val="0"/>
          <w:numId w:val="48"/>
        </w:numPr>
        <w:spacing w:before="240" w:after="160" w:line="276" w:lineRule="auto"/>
      </w:pPr>
      <w:proofErr w:type="spellStart"/>
      <w:r>
        <w:t>Maunula</w:t>
      </w:r>
      <w:proofErr w:type="spellEnd"/>
      <w:r>
        <w:t xml:space="preserve"> L, </w:t>
      </w:r>
      <w:proofErr w:type="spellStart"/>
      <w:r>
        <w:t>Kalso</w:t>
      </w:r>
      <w:proofErr w:type="spellEnd"/>
      <w:r>
        <w:t xml:space="preserve"> S, Von </w:t>
      </w:r>
      <w:proofErr w:type="spellStart"/>
      <w:r>
        <w:t>Bonsdorff</w:t>
      </w:r>
      <w:proofErr w:type="spellEnd"/>
      <w:r>
        <w:t xml:space="preserve"> CH, </w:t>
      </w:r>
      <w:proofErr w:type="spellStart"/>
      <w:r>
        <w:t>Pönkä</w:t>
      </w:r>
      <w:proofErr w:type="spellEnd"/>
      <w:r>
        <w:t xml:space="preserve"> A. Wading pool water contaminated with both noroviruses and astroviruses as the source of a gastroenteritis outbreak. Epidemiol Infect 2004;132(4):737–43.</w:t>
      </w:r>
    </w:p>
    <w:p w14:paraId="13955AF5" w14:textId="77777777" w:rsidR="0037011B" w:rsidRDefault="0037011B" w:rsidP="0037011B">
      <w:pPr>
        <w:pStyle w:val="ListParagraph"/>
        <w:numPr>
          <w:ilvl w:val="0"/>
          <w:numId w:val="48"/>
        </w:numPr>
        <w:spacing w:before="240" w:after="160" w:line="276" w:lineRule="auto"/>
      </w:pPr>
      <w:proofErr w:type="spellStart"/>
      <w:r>
        <w:t>Migliorati</w:t>
      </w:r>
      <w:proofErr w:type="spellEnd"/>
      <w:r>
        <w:t> G, </w:t>
      </w:r>
      <w:proofErr w:type="spellStart"/>
      <w:r>
        <w:t>Prencipe</w:t>
      </w:r>
      <w:proofErr w:type="spellEnd"/>
      <w:r>
        <w:t> V, </w:t>
      </w:r>
      <w:proofErr w:type="spellStart"/>
      <w:r>
        <w:t>Ripani</w:t>
      </w:r>
      <w:proofErr w:type="spellEnd"/>
      <w:r>
        <w:t xml:space="preserve"> A, Di Francesco C, Casaccia C, Crudeli S, Ferri N, Giovannini A, Marconi MM, Marfoglia C, et al. 2008. Gastroenteritis outbreak at holiday resort, Central Italy. </w:t>
      </w:r>
      <w:proofErr w:type="spellStart"/>
      <w:r>
        <w:t>Emerg</w:t>
      </w:r>
      <w:proofErr w:type="spellEnd"/>
      <w:r>
        <w:t xml:space="preserve"> Infect Dis. 14:474–478</w:t>
      </w:r>
    </w:p>
    <w:p w14:paraId="63CF2CE3" w14:textId="77777777" w:rsidR="0037011B" w:rsidRDefault="0037011B" w:rsidP="0037011B">
      <w:pPr>
        <w:pStyle w:val="ListParagraph"/>
        <w:numPr>
          <w:ilvl w:val="0"/>
          <w:numId w:val="48"/>
        </w:numPr>
        <w:spacing w:before="240" w:after="160" w:line="276" w:lineRule="auto"/>
      </w:pPr>
      <w:proofErr w:type="spellStart"/>
      <w:r>
        <w:t>Nascetti</w:t>
      </w:r>
      <w:proofErr w:type="spellEnd"/>
      <w:r>
        <w:t xml:space="preserve"> S, </w:t>
      </w:r>
      <w:proofErr w:type="spellStart"/>
      <w:r>
        <w:t>Busani</w:t>
      </w:r>
      <w:proofErr w:type="spellEnd"/>
      <w:r>
        <w:t xml:space="preserve"> L, Bartoli F, </w:t>
      </w:r>
      <w:proofErr w:type="spellStart"/>
      <w:r>
        <w:t>Orioli</w:t>
      </w:r>
      <w:proofErr w:type="spellEnd"/>
      <w:r>
        <w:t xml:space="preserve"> R, </w:t>
      </w:r>
      <w:proofErr w:type="spellStart"/>
      <w:r>
        <w:t>Stenico</w:t>
      </w:r>
      <w:proofErr w:type="spellEnd"/>
      <w:r>
        <w:t xml:space="preserve"> A, </w:t>
      </w:r>
      <w:proofErr w:type="spellStart"/>
      <w:r>
        <w:t>Regele</w:t>
      </w:r>
      <w:proofErr w:type="spellEnd"/>
      <w:r>
        <w:t xml:space="preserve"> D. Community waterborne outbreak linked to a firefighting response during the COVID-19 emergency. Ann </w:t>
      </w:r>
      <w:proofErr w:type="spellStart"/>
      <w:r>
        <w:t>Ist</w:t>
      </w:r>
      <w:proofErr w:type="spellEnd"/>
      <w:r>
        <w:t xml:space="preserve"> Super </w:t>
      </w:r>
      <w:proofErr w:type="spellStart"/>
      <w:r>
        <w:t>Sanita</w:t>
      </w:r>
      <w:proofErr w:type="spellEnd"/>
      <w:r>
        <w:t>. 2021 Jul-Sep;57(3):226-232</w:t>
      </w:r>
    </w:p>
    <w:p w14:paraId="1DF9F009" w14:textId="77777777" w:rsidR="0037011B" w:rsidRDefault="0037011B" w:rsidP="0037011B">
      <w:pPr>
        <w:pStyle w:val="ListParagraph"/>
        <w:numPr>
          <w:ilvl w:val="0"/>
          <w:numId w:val="48"/>
        </w:numPr>
        <w:spacing w:before="240" w:after="160" w:line="276" w:lineRule="auto"/>
      </w:pPr>
      <w:proofErr w:type="spellStart"/>
      <w:r>
        <w:lastRenderedPageBreak/>
        <w:t>Nenonen</w:t>
      </w:r>
      <w:proofErr w:type="spellEnd"/>
      <w:r>
        <w:t xml:space="preserve"> NP, </w:t>
      </w:r>
      <w:proofErr w:type="spellStart"/>
      <w:r>
        <w:t>Hannoun</w:t>
      </w:r>
      <w:proofErr w:type="spellEnd"/>
      <w:r>
        <w:t xml:space="preserve"> C, Larsson CU, </w:t>
      </w:r>
      <w:proofErr w:type="spellStart"/>
      <w:r>
        <w:t>Bergström</w:t>
      </w:r>
      <w:proofErr w:type="spellEnd"/>
      <w:r>
        <w:t xml:space="preserve"> T. 2012. Marked genomic diversity of norovirus genogroup I strains in a waterborne outbreak. Appl. Environ. </w:t>
      </w:r>
      <w:proofErr w:type="spellStart"/>
      <w:r>
        <w:t>Microbiol</w:t>
      </w:r>
      <w:proofErr w:type="spellEnd"/>
      <w:r>
        <w:t>. 78:1846–1852</w:t>
      </w:r>
    </w:p>
    <w:p w14:paraId="187A4E82" w14:textId="77777777" w:rsidR="0037011B" w:rsidRDefault="0037011B" w:rsidP="0037011B">
      <w:pPr>
        <w:pStyle w:val="ListParagraph"/>
        <w:numPr>
          <w:ilvl w:val="0"/>
          <w:numId w:val="48"/>
        </w:numPr>
        <w:spacing w:before="240" w:after="160" w:line="276" w:lineRule="auto"/>
      </w:pPr>
      <w:r>
        <w:t>PARKKALI, S., JOOSTEN, R., FANOY, E., PIJNACKER, R., VAN BEEK, J., BRANDWAGT, D., &amp; VAN PELT, W. (2017). Outbreak of diarrhoea among participants of a triathlon and a duathlon on 12 July 2015 in Utrecht, the Netherlands. Epidemiology and Infection, 145(10), 2176-2184</w:t>
      </w:r>
    </w:p>
    <w:p w14:paraId="27227E69" w14:textId="77777777" w:rsidR="0037011B" w:rsidRDefault="0037011B" w:rsidP="0037011B">
      <w:pPr>
        <w:pStyle w:val="ListParagraph"/>
        <w:numPr>
          <w:ilvl w:val="0"/>
          <w:numId w:val="48"/>
        </w:numPr>
        <w:spacing w:before="240" w:after="160" w:line="276" w:lineRule="auto"/>
      </w:pPr>
      <w:proofErr w:type="spellStart"/>
      <w:r>
        <w:t>Parshionikar</w:t>
      </w:r>
      <w:proofErr w:type="spellEnd"/>
      <w:r>
        <w:t xml:space="preserve"> SU, Willian-True S, </w:t>
      </w:r>
      <w:proofErr w:type="spellStart"/>
      <w:r>
        <w:t>Fout</w:t>
      </w:r>
      <w:proofErr w:type="spellEnd"/>
      <w:r>
        <w:t xml:space="preserve"> GS, Robbins DE, </w:t>
      </w:r>
      <w:proofErr w:type="spellStart"/>
      <w:r>
        <w:t>Seys</w:t>
      </w:r>
      <w:proofErr w:type="spellEnd"/>
      <w:r>
        <w:t xml:space="preserve"> SA, Cassady JD, Harris R: Waterborne outbreak of gastroenteritis associated with a norovirus. </w:t>
      </w:r>
      <w:proofErr w:type="spellStart"/>
      <w:r>
        <w:t>Appl</w:t>
      </w:r>
      <w:proofErr w:type="spellEnd"/>
      <w:r>
        <w:t xml:space="preserve"> Environ </w:t>
      </w:r>
      <w:proofErr w:type="spellStart"/>
      <w:r>
        <w:t>Microbiol</w:t>
      </w:r>
      <w:proofErr w:type="spellEnd"/>
      <w:r>
        <w:t xml:space="preserve"> 2003, 69(9):5263–5268</w:t>
      </w:r>
    </w:p>
    <w:p w14:paraId="715849EC" w14:textId="77777777" w:rsidR="0037011B" w:rsidRDefault="0037011B" w:rsidP="0037011B">
      <w:pPr>
        <w:pStyle w:val="ListParagraph"/>
        <w:numPr>
          <w:ilvl w:val="0"/>
          <w:numId w:val="48"/>
        </w:numPr>
        <w:spacing w:before="240" w:after="160" w:line="276" w:lineRule="auto"/>
      </w:pPr>
      <w:proofErr w:type="spellStart"/>
      <w:r>
        <w:t>Polkowska</w:t>
      </w:r>
      <w:proofErr w:type="spellEnd"/>
      <w:r>
        <w:t xml:space="preserve">, A.; </w:t>
      </w:r>
      <w:proofErr w:type="spellStart"/>
      <w:r>
        <w:t>Räsänen</w:t>
      </w:r>
      <w:proofErr w:type="spellEnd"/>
      <w:r>
        <w:t xml:space="preserve">, S.; Al-Hello, H.; </w:t>
      </w:r>
      <w:proofErr w:type="spellStart"/>
      <w:r>
        <w:t>Bojang</w:t>
      </w:r>
      <w:proofErr w:type="spellEnd"/>
      <w:r>
        <w:t xml:space="preserve">, M.; </w:t>
      </w:r>
      <w:proofErr w:type="spellStart"/>
      <w:r>
        <w:t>Lyytikäinen</w:t>
      </w:r>
      <w:proofErr w:type="spellEnd"/>
      <w:r>
        <w:t xml:space="preserve">, O.; </w:t>
      </w:r>
      <w:proofErr w:type="spellStart"/>
      <w:r>
        <w:t>Nuorti</w:t>
      </w:r>
      <w:proofErr w:type="spellEnd"/>
      <w:r>
        <w:t xml:space="preserve">, J.P.; </w:t>
      </w:r>
      <w:proofErr w:type="spellStart"/>
      <w:r>
        <w:t>Jalava</w:t>
      </w:r>
      <w:proofErr w:type="spellEnd"/>
      <w:r>
        <w:t>, K. An outbreak of norovirus infections associated with recreational lake water in Western Finland, 2014. Epidemiol. Infect. 2018, 146, 544–550</w:t>
      </w:r>
    </w:p>
    <w:p w14:paraId="6318E362" w14:textId="77777777" w:rsidR="0037011B" w:rsidRDefault="0037011B" w:rsidP="0037011B">
      <w:pPr>
        <w:pStyle w:val="ListParagraph"/>
        <w:numPr>
          <w:ilvl w:val="0"/>
          <w:numId w:val="48"/>
        </w:numPr>
        <w:spacing w:before="240" w:after="160" w:line="276" w:lineRule="auto"/>
      </w:pPr>
      <w:r>
        <w:t>Qin M et al. (2016) A waterborne gastroenteritis outbreak caused by norovirus GII. 17 in a Hotel, Hebei, China, December 2014. Food and Environmental Virology 8, 180–186</w:t>
      </w:r>
    </w:p>
    <w:p w14:paraId="4CD82228" w14:textId="77777777" w:rsidR="0037011B" w:rsidRDefault="0037011B" w:rsidP="0037011B">
      <w:pPr>
        <w:pStyle w:val="ListParagraph"/>
        <w:numPr>
          <w:ilvl w:val="0"/>
          <w:numId w:val="48"/>
        </w:numPr>
        <w:spacing w:before="240" w:after="160" w:line="276" w:lineRule="auto"/>
      </w:pPr>
      <w:proofErr w:type="spellStart"/>
      <w:r>
        <w:t>Riera</w:t>
      </w:r>
      <w:proofErr w:type="spellEnd"/>
      <w:r>
        <w:t>-Montes M, et al. Waterborne norovirus outbreak in a municipal drinking-water supply in Sweden. Epidemiology and Infection 2011; 139: 1928–1935.</w:t>
      </w:r>
    </w:p>
    <w:p w14:paraId="1AA34687" w14:textId="77777777" w:rsidR="0037011B" w:rsidRDefault="0037011B" w:rsidP="0037011B">
      <w:pPr>
        <w:pStyle w:val="ListParagraph"/>
        <w:numPr>
          <w:ilvl w:val="0"/>
          <w:numId w:val="48"/>
        </w:numPr>
        <w:spacing w:before="240" w:after="160" w:line="276" w:lineRule="auto"/>
      </w:pPr>
      <w:r>
        <w:t xml:space="preserve">Sartorius B, et al. Outbreak of norovirus in </w:t>
      </w:r>
      <w:proofErr w:type="spellStart"/>
      <w:r>
        <w:t>Vastra</w:t>
      </w:r>
      <w:proofErr w:type="spellEnd"/>
      <w:r>
        <w:t xml:space="preserve"> </w:t>
      </w:r>
      <w:proofErr w:type="spellStart"/>
      <w:r>
        <w:t>Gotaland</w:t>
      </w:r>
      <w:proofErr w:type="spellEnd"/>
      <w:r>
        <w:t xml:space="preserve"> associated with recreational activities at two lakes during August 2004. Scandinavian Journal of Infectious Diseases 2007; 39: 323–331</w:t>
      </w:r>
    </w:p>
    <w:p w14:paraId="04D57566" w14:textId="77777777" w:rsidR="0037011B" w:rsidRDefault="0037011B" w:rsidP="0037011B">
      <w:pPr>
        <w:pStyle w:val="ListParagraph"/>
        <w:numPr>
          <w:ilvl w:val="0"/>
          <w:numId w:val="48"/>
        </w:numPr>
        <w:spacing w:before="240" w:after="160" w:line="276" w:lineRule="auto"/>
      </w:pPr>
      <w:proofErr w:type="spellStart"/>
      <w:r>
        <w:t>Schets</w:t>
      </w:r>
      <w:proofErr w:type="spellEnd"/>
      <w:r>
        <w:t xml:space="preserve"> F.M., van den Berg H.H.J.L, </w:t>
      </w:r>
      <w:proofErr w:type="spellStart"/>
      <w:r>
        <w:t>Vannema</w:t>
      </w:r>
      <w:proofErr w:type="spellEnd"/>
      <w:r>
        <w:t xml:space="preserve"> H., </w:t>
      </w:r>
      <w:proofErr w:type="spellStart"/>
      <w:r>
        <w:t>Pelgrim</w:t>
      </w:r>
      <w:proofErr w:type="spellEnd"/>
      <w:r>
        <w:t xml:space="preserve"> M.T.M., Colle C., </w:t>
      </w:r>
      <w:proofErr w:type="spellStart"/>
      <w:r>
        <w:t>Rutjes</w:t>
      </w:r>
      <w:proofErr w:type="spellEnd"/>
      <w:r>
        <w:t xml:space="preserve"> S.A. et al. Norovirus Outbreak Associated with Swimming in a Recreational Lake Not Influenced by External Human </w:t>
      </w:r>
      <w:proofErr w:type="spellStart"/>
      <w:r>
        <w:t>Fecal</w:t>
      </w:r>
      <w:proofErr w:type="spellEnd"/>
      <w:r>
        <w:t xml:space="preserve"> Sources in The Netherlands, August 2012. Int. J. Environ. Res. Public Health 2018, 15, 2550</w:t>
      </w:r>
    </w:p>
    <w:p w14:paraId="0C05810E" w14:textId="77777777" w:rsidR="0037011B" w:rsidRDefault="0037011B" w:rsidP="0037011B">
      <w:pPr>
        <w:pStyle w:val="ListParagraph"/>
        <w:numPr>
          <w:ilvl w:val="0"/>
          <w:numId w:val="48"/>
        </w:numPr>
        <w:spacing w:before="240" w:after="160" w:line="276" w:lineRule="auto"/>
      </w:pPr>
      <w:proofErr w:type="spellStart"/>
      <w:r>
        <w:t>Sekwadi</w:t>
      </w:r>
      <w:proofErr w:type="spellEnd"/>
      <w:r>
        <w:t xml:space="preserve">, P., </w:t>
      </w:r>
      <w:proofErr w:type="spellStart"/>
      <w:r>
        <w:t>Ravhuhali</w:t>
      </w:r>
      <w:proofErr w:type="spellEnd"/>
      <w:r>
        <w:t xml:space="preserve">, K., </w:t>
      </w:r>
      <w:proofErr w:type="spellStart"/>
      <w:r>
        <w:t>Mosam</w:t>
      </w:r>
      <w:proofErr w:type="spellEnd"/>
      <w:r>
        <w:t xml:space="preserve">, A., </w:t>
      </w:r>
      <w:proofErr w:type="spellStart"/>
      <w:r>
        <w:t>Essel</w:t>
      </w:r>
      <w:proofErr w:type="spellEnd"/>
      <w:r>
        <w:t xml:space="preserve">, V., </w:t>
      </w:r>
      <w:proofErr w:type="spellStart"/>
      <w:r>
        <w:t>Ntshoe</w:t>
      </w:r>
      <w:proofErr w:type="spellEnd"/>
      <w:r>
        <w:t xml:space="preserve">, G., </w:t>
      </w:r>
      <w:proofErr w:type="spellStart"/>
      <w:r>
        <w:t>Shonhiwa</w:t>
      </w:r>
      <w:proofErr w:type="spellEnd"/>
      <w:r>
        <w:t>, A., . . . Govender, N. (2018). Waterborne outbreak of gastroenteritis on the KwaZulu-Natal Coast, South Africa, December 2016/January 2017. Epidemiology and Infection, 146(10), 1318-1325.</w:t>
      </w:r>
    </w:p>
    <w:p w14:paraId="4A34B600" w14:textId="77777777" w:rsidR="0037011B" w:rsidRDefault="0037011B" w:rsidP="0037011B">
      <w:pPr>
        <w:pStyle w:val="ListParagraph"/>
        <w:numPr>
          <w:ilvl w:val="0"/>
          <w:numId w:val="48"/>
        </w:numPr>
        <w:spacing w:before="240" w:after="160" w:line="276" w:lineRule="auto"/>
      </w:pPr>
      <w:r>
        <w:t>Shang et al. An outbreak of norovirus-associated acute gastroenteritis associated with contaminated barrelled water in many schools in Zhejiang, China</w:t>
      </w:r>
    </w:p>
    <w:p w14:paraId="6336F584" w14:textId="77777777" w:rsidR="0037011B" w:rsidRDefault="0037011B" w:rsidP="0037011B">
      <w:pPr>
        <w:pStyle w:val="ListParagraph"/>
        <w:numPr>
          <w:ilvl w:val="0"/>
          <w:numId w:val="48"/>
        </w:numPr>
        <w:spacing w:before="240" w:after="160" w:line="276" w:lineRule="auto"/>
      </w:pPr>
      <w:r>
        <w:t xml:space="preserve">Shi C., Wei-Hong Feng, Ping Shi, Jing Ai, Hong-Xia Guan, Dan Sha, Qian </w:t>
      </w:r>
      <w:proofErr w:type="spellStart"/>
      <w:r>
        <w:t>Geng</w:t>
      </w:r>
      <w:proofErr w:type="spellEnd"/>
      <w:r>
        <w:t>, Jun Mei, Shan-hui Chen, Yong Xiao, Yan-Hua Qian, An acute gastroenteritis outbreak caused by GII.17 norovirus in Jiangsu Province, China, International Journal of Infectious Diseases, Volume 49, 2016, Pages 30-32,</w:t>
      </w:r>
    </w:p>
    <w:p w14:paraId="4E75A8C9" w14:textId="77777777" w:rsidR="0037011B" w:rsidRDefault="0037011B" w:rsidP="0037011B">
      <w:pPr>
        <w:pStyle w:val="ListParagraph"/>
        <w:numPr>
          <w:ilvl w:val="0"/>
          <w:numId w:val="48"/>
        </w:numPr>
        <w:spacing w:before="240" w:after="160" w:line="276" w:lineRule="auto"/>
      </w:pPr>
      <w:r>
        <w:t xml:space="preserve">van Alpen L.B., </w:t>
      </w:r>
      <w:proofErr w:type="spellStart"/>
      <w:r>
        <w:t>Dorleans</w:t>
      </w:r>
      <w:proofErr w:type="spellEnd"/>
      <w:r>
        <w:t xml:space="preserve"> F., Schultz A.C., </w:t>
      </w:r>
      <w:proofErr w:type="spellStart"/>
      <w:r>
        <w:t>Fonager</w:t>
      </w:r>
      <w:proofErr w:type="spellEnd"/>
      <w:r>
        <w:t xml:space="preserve"> J., </w:t>
      </w:r>
      <w:proofErr w:type="spellStart"/>
      <w:r>
        <w:t>Ethelberg</w:t>
      </w:r>
      <w:proofErr w:type="spellEnd"/>
      <w:r>
        <w:t xml:space="preserve"> S., </w:t>
      </w:r>
      <w:proofErr w:type="spellStart"/>
      <w:r>
        <w:t>Dalgaard</w:t>
      </w:r>
      <w:proofErr w:type="spellEnd"/>
      <w:r>
        <w:t xml:space="preserve"> C. et al. The Application of New Molecular Methods in the Investigation of a Waterborne Outbreak of Norovirus in Denmark, 2012. </w:t>
      </w:r>
      <w:proofErr w:type="spellStart"/>
      <w:r>
        <w:t>PLoS</w:t>
      </w:r>
      <w:proofErr w:type="spellEnd"/>
      <w:r>
        <w:t xml:space="preserve"> One, 2014; 9(9):e105053</w:t>
      </w:r>
    </w:p>
    <w:p w14:paraId="12D90D13" w14:textId="77777777" w:rsidR="0037011B" w:rsidRDefault="0037011B" w:rsidP="0037011B">
      <w:pPr>
        <w:pStyle w:val="ListParagraph"/>
        <w:numPr>
          <w:ilvl w:val="0"/>
          <w:numId w:val="48"/>
        </w:numPr>
        <w:spacing w:before="240" w:after="160" w:line="276" w:lineRule="auto"/>
      </w:pPr>
      <w:proofErr w:type="spellStart"/>
      <w:r>
        <w:t>Vantarakis</w:t>
      </w:r>
      <w:proofErr w:type="spellEnd"/>
      <w:r>
        <w:t xml:space="preserve"> A., </w:t>
      </w:r>
      <w:proofErr w:type="spellStart"/>
      <w:r>
        <w:t>Μellou</w:t>
      </w:r>
      <w:proofErr w:type="spellEnd"/>
      <w:r>
        <w:t xml:space="preserve"> K., </w:t>
      </w:r>
      <w:proofErr w:type="spellStart"/>
      <w:r>
        <w:t>Spala</w:t>
      </w:r>
      <w:proofErr w:type="spellEnd"/>
      <w:r>
        <w:t xml:space="preserve"> G., Kokkinos P., </w:t>
      </w:r>
      <w:proofErr w:type="spellStart"/>
      <w:r>
        <w:t>Alamanos</w:t>
      </w:r>
      <w:proofErr w:type="spellEnd"/>
      <w:r>
        <w:t xml:space="preserve"> Y. A Gastroenteritis Outbreak Caused by Noroviruses in Greece. Int. J. Environ. Res. Public Health 2011, 8, 3468-3478.</w:t>
      </w:r>
    </w:p>
    <w:p w14:paraId="2BD75484" w14:textId="77777777" w:rsidR="0037011B" w:rsidRDefault="0037011B" w:rsidP="0037011B">
      <w:pPr>
        <w:pStyle w:val="ListParagraph"/>
        <w:numPr>
          <w:ilvl w:val="0"/>
          <w:numId w:val="48"/>
        </w:numPr>
        <w:spacing w:before="240" w:after="160" w:line="276" w:lineRule="auto"/>
      </w:pPr>
      <w:proofErr w:type="spellStart"/>
      <w:r>
        <w:lastRenderedPageBreak/>
        <w:t>Waarbeek</w:t>
      </w:r>
      <w:proofErr w:type="spellEnd"/>
      <w:r>
        <w:t xml:space="preserve">, H. L., </w:t>
      </w:r>
      <w:proofErr w:type="spellStart"/>
      <w:r>
        <w:t>Dukers-Muijrers</w:t>
      </w:r>
      <w:proofErr w:type="spellEnd"/>
      <w:r>
        <w:t xml:space="preserve">, N. H., </w:t>
      </w:r>
      <w:proofErr w:type="spellStart"/>
      <w:r>
        <w:t>Vennema</w:t>
      </w:r>
      <w:proofErr w:type="spellEnd"/>
      <w:r>
        <w:t xml:space="preserve">, H. &amp; </w:t>
      </w:r>
      <w:proofErr w:type="spellStart"/>
      <w:r>
        <w:t>Hoebe</w:t>
      </w:r>
      <w:proofErr w:type="spellEnd"/>
      <w:r>
        <w:t xml:space="preserve">, C. J. Waterborne gastroenteritis outbreak at a scouting camp caused by two norovirus genogroups: GI and GII. J. Clin. </w:t>
      </w:r>
      <w:proofErr w:type="spellStart"/>
      <w:r>
        <w:t>Virol</w:t>
      </w:r>
      <w:proofErr w:type="spellEnd"/>
      <w:r>
        <w:t xml:space="preserve">. 47 (3), 268–272. </w:t>
      </w:r>
      <w:proofErr w:type="spellStart"/>
      <w:r>
        <w:t>Epub</w:t>
      </w:r>
      <w:proofErr w:type="spellEnd"/>
      <w:r>
        <w:t xml:space="preserve"> 2010 January 6.</w:t>
      </w:r>
    </w:p>
    <w:p w14:paraId="7ED211C8" w14:textId="77777777" w:rsidR="0037011B" w:rsidRDefault="0037011B" w:rsidP="0037011B">
      <w:pPr>
        <w:pStyle w:val="ListParagraph"/>
        <w:numPr>
          <w:ilvl w:val="0"/>
          <w:numId w:val="48"/>
        </w:numPr>
        <w:spacing w:before="240" w:after="160" w:line="276" w:lineRule="auto"/>
      </w:pPr>
      <w:r>
        <w:t>Abernethy, M., et al. (2013). Microfiber and steam for environmental cleaning during an outbreak. American Journal of Infection Control 41(11): 1134-1135.</w:t>
      </w:r>
    </w:p>
    <w:p w14:paraId="5C0130F2" w14:textId="77777777" w:rsidR="0037011B" w:rsidRDefault="0037011B" w:rsidP="0037011B">
      <w:pPr>
        <w:pStyle w:val="ListParagraph"/>
        <w:numPr>
          <w:ilvl w:val="0"/>
          <w:numId w:val="48"/>
        </w:numPr>
        <w:spacing w:before="240" w:after="160" w:line="276" w:lineRule="auto"/>
      </w:pPr>
      <w:proofErr w:type="spellStart"/>
      <w:r>
        <w:t>Yamagami</w:t>
      </w:r>
      <w:proofErr w:type="spellEnd"/>
      <w:r>
        <w:t xml:space="preserve"> T, Hara S. Outbreak of norovirus gastroenteritis involving multiple institutions. Jpn J Infect Dis 2007;60: 146e147.</w:t>
      </w:r>
    </w:p>
    <w:p w14:paraId="34BFA788" w14:textId="77777777" w:rsidR="0037011B" w:rsidRDefault="0037011B" w:rsidP="0037011B">
      <w:pPr>
        <w:pStyle w:val="ListParagraph"/>
        <w:numPr>
          <w:ilvl w:val="0"/>
          <w:numId w:val="48"/>
        </w:numPr>
        <w:spacing w:before="240" w:after="160" w:line="276" w:lineRule="auto"/>
      </w:pPr>
      <w:r>
        <w:t xml:space="preserve">CDC. Norovirus outbreak associated with ill food-service workers–— Michigan, January—February 2006. MMWR </w:t>
      </w:r>
      <w:proofErr w:type="spellStart"/>
      <w:r>
        <w:t>Morb</w:t>
      </w:r>
      <w:proofErr w:type="spellEnd"/>
      <w:r>
        <w:t xml:space="preserve"> Mortal </w:t>
      </w:r>
      <w:proofErr w:type="spellStart"/>
      <w:r>
        <w:t>Wkly</w:t>
      </w:r>
      <w:proofErr w:type="spellEnd"/>
      <w:r>
        <w:t xml:space="preserve"> Rep 2007; 56:1212—6</w:t>
      </w:r>
    </w:p>
    <w:p w14:paraId="378ACA4C" w14:textId="77777777" w:rsidR="0037011B" w:rsidRDefault="0037011B" w:rsidP="0037011B">
      <w:pPr>
        <w:pStyle w:val="ListParagraph"/>
        <w:numPr>
          <w:ilvl w:val="0"/>
          <w:numId w:val="48"/>
        </w:numPr>
        <w:spacing w:before="240" w:after="160" w:line="276" w:lineRule="auto"/>
      </w:pPr>
      <w:r>
        <w:t>Evans MR, Meldrum R, Lane W, et al. An outbreak of viral gastroenteritis following environmental contamination at a concert hall. Epidemiol Infect 2002;129:355—360.</w:t>
      </w:r>
    </w:p>
    <w:p w14:paraId="627FA0CC" w14:textId="77777777" w:rsidR="0037011B" w:rsidRDefault="0037011B" w:rsidP="0037011B">
      <w:pPr>
        <w:pStyle w:val="ListParagraph"/>
        <w:numPr>
          <w:ilvl w:val="0"/>
          <w:numId w:val="48"/>
        </w:numPr>
        <w:spacing w:before="240" w:after="160" w:line="276" w:lineRule="auto"/>
      </w:pPr>
      <w:r>
        <w:t>Barker, J., et al. (2004). Effects of cleaning and disinfection in reducing the spread of Norovirus contamination via environmental surfaces. Journal of Hospital Infection 58(1): 42-49.</w:t>
      </w:r>
    </w:p>
    <w:p w14:paraId="55488E1F" w14:textId="77777777" w:rsidR="0037011B" w:rsidRDefault="0037011B" w:rsidP="0037011B">
      <w:pPr>
        <w:pStyle w:val="ListParagraph"/>
        <w:numPr>
          <w:ilvl w:val="0"/>
          <w:numId w:val="48"/>
        </w:numPr>
        <w:spacing w:before="240" w:after="160" w:line="276" w:lineRule="auto"/>
      </w:pPr>
      <w:proofErr w:type="spellStart"/>
      <w:r>
        <w:t>Ciofi</w:t>
      </w:r>
      <w:proofErr w:type="spellEnd"/>
      <w:r>
        <w:t>-Silva, C. L., et al. (2019). Norovirus recovery from floors and air after various decontamination protocols. Journal of Hospital Infection 103(3): 328-334.</w:t>
      </w:r>
    </w:p>
    <w:p w14:paraId="5B811733" w14:textId="77777777" w:rsidR="0037011B" w:rsidRDefault="0037011B" w:rsidP="0037011B">
      <w:pPr>
        <w:pStyle w:val="ListParagraph"/>
        <w:numPr>
          <w:ilvl w:val="0"/>
          <w:numId w:val="48"/>
        </w:numPr>
        <w:spacing w:before="240" w:after="160" w:line="276" w:lineRule="auto"/>
      </w:pPr>
      <w:proofErr w:type="spellStart"/>
      <w:r>
        <w:t>Djebbi</w:t>
      </w:r>
      <w:proofErr w:type="spellEnd"/>
      <w:r>
        <w:t>-Simmons, D., et al. (2020). Survival and inactivation of human norovirus GII.4 Sydney on commonly touched airplane cabin surfaces. AIMS public health 7(3): 574-586.</w:t>
      </w:r>
    </w:p>
    <w:p w14:paraId="0263D480" w14:textId="77777777" w:rsidR="0037011B" w:rsidRDefault="0037011B" w:rsidP="0037011B">
      <w:pPr>
        <w:pStyle w:val="ListParagraph"/>
        <w:numPr>
          <w:ilvl w:val="0"/>
          <w:numId w:val="48"/>
        </w:numPr>
        <w:spacing w:before="240" w:after="160" w:line="276" w:lineRule="auto"/>
      </w:pPr>
      <w:r>
        <w:t xml:space="preserve">Park, G. W. and M. D. </w:t>
      </w:r>
      <w:proofErr w:type="spellStart"/>
      <w:r>
        <w:t>Sobsey</w:t>
      </w:r>
      <w:proofErr w:type="spellEnd"/>
      <w:r>
        <w:t xml:space="preserve"> (2011). Simultaneous comparison of murine norovirus, feline calicivirus, coliphage MS2, and GII.4 norovirus to evaluate the efficacy of sodium hypochlorite against human norovirus on a </w:t>
      </w:r>
      <w:proofErr w:type="spellStart"/>
      <w:r>
        <w:t>fecally</w:t>
      </w:r>
      <w:proofErr w:type="spellEnd"/>
      <w:r>
        <w:t xml:space="preserve"> soiled stainless steel surface. Foodborne Pathogens and Disease 8(9): 1005-1010.</w:t>
      </w:r>
    </w:p>
    <w:p w14:paraId="4ADBE53A" w14:textId="77777777" w:rsidR="0037011B" w:rsidRDefault="0037011B" w:rsidP="0037011B">
      <w:pPr>
        <w:pStyle w:val="ListParagraph"/>
        <w:numPr>
          <w:ilvl w:val="0"/>
          <w:numId w:val="48"/>
        </w:numPr>
        <w:spacing w:before="240" w:after="160" w:line="276" w:lineRule="auto"/>
      </w:pPr>
      <w:proofErr w:type="spellStart"/>
      <w:r>
        <w:t>Tuladhar</w:t>
      </w:r>
      <w:proofErr w:type="spellEnd"/>
      <w:r>
        <w:t>, E., et al. (2012). Residual viral and bacterial contamination of surfaces after cleaning and disinfection. Applied and Environmental Microbiology 78(21): 7769-7775.</w:t>
      </w:r>
    </w:p>
    <w:p w14:paraId="70F5BAC9" w14:textId="77777777" w:rsidR="0037011B" w:rsidRDefault="0037011B" w:rsidP="0037011B">
      <w:pPr>
        <w:pStyle w:val="ListParagraph"/>
        <w:numPr>
          <w:ilvl w:val="0"/>
          <w:numId w:val="48"/>
        </w:numPr>
        <w:spacing w:before="240" w:after="160" w:line="276" w:lineRule="auto"/>
      </w:pPr>
      <w:r>
        <w:t>Bolton, S. L., et al. (2013). Sanitizer efficacy against murine norovirus, a surrogate for human norovirus, on stainless steel surfaces when using three application methods. Applied and Environmental Microbiology 79(4): 1368-1377.</w:t>
      </w:r>
    </w:p>
    <w:p w14:paraId="1E0BA443" w14:textId="77777777" w:rsidR="0037011B" w:rsidRDefault="0037011B" w:rsidP="0037011B">
      <w:pPr>
        <w:pStyle w:val="ListParagraph"/>
        <w:numPr>
          <w:ilvl w:val="0"/>
          <w:numId w:val="48"/>
        </w:numPr>
        <w:spacing w:before="240" w:after="160" w:line="276" w:lineRule="auto"/>
      </w:pPr>
      <w:r>
        <w:t>Chiu, S., et al. (2015). Efficacy of common disinfectant/cleaning agents in inactivating murine norovirus and feline calicivirus as surrogate viruses for human norovirus. American Journal of Infection Control 43(11): 1208-1212.</w:t>
      </w:r>
    </w:p>
    <w:p w14:paraId="3FA95FE7" w14:textId="77777777" w:rsidR="0037011B" w:rsidRDefault="0037011B" w:rsidP="0037011B">
      <w:pPr>
        <w:pStyle w:val="ListParagraph"/>
        <w:numPr>
          <w:ilvl w:val="0"/>
          <w:numId w:val="48"/>
        </w:numPr>
        <w:spacing w:before="240" w:after="160" w:line="276" w:lineRule="auto"/>
      </w:pPr>
      <w:proofErr w:type="spellStart"/>
      <w:r>
        <w:t>Cromeans</w:t>
      </w:r>
      <w:proofErr w:type="spellEnd"/>
      <w:r>
        <w:t>, T., et al. (2014). Comprehensive comparison of cultivable norovirus surrogates in response to different inactivation and disinfection treatments. Applied and environmental microbiology 80(18): 5743-5751.</w:t>
      </w:r>
    </w:p>
    <w:p w14:paraId="5FD0F848" w14:textId="77777777" w:rsidR="0037011B" w:rsidRDefault="0037011B" w:rsidP="0037011B">
      <w:pPr>
        <w:pStyle w:val="ListParagraph"/>
        <w:numPr>
          <w:ilvl w:val="0"/>
          <w:numId w:val="48"/>
        </w:numPr>
        <w:spacing w:before="240" w:after="160" w:line="276" w:lineRule="auto"/>
      </w:pPr>
      <w:r>
        <w:t xml:space="preserve">D'Souza, D. H. and X. </w:t>
      </w:r>
      <w:proofErr w:type="spellStart"/>
      <w:r>
        <w:t>Su</w:t>
      </w:r>
      <w:proofErr w:type="spellEnd"/>
      <w:r>
        <w:t xml:space="preserve"> (2010). Efficacy of chemical treatments against murine norovirus, feline calicivirus, and MS2 bacteriophage. Foodborne Pathogens and Disease 7(3): 319-326.</w:t>
      </w:r>
    </w:p>
    <w:p w14:paraId="6ED1DA6A" w14:textId="77777777" w:rsidR="0037011B" w:rsidRDefault="0037011B" w:rsidP="0037011B">
      <w:pPr>
        <w:pStyle w:val="ListParagraph"/>
        <w:numPr>
          <w:ilvl w:val="0"/>
          <w:numId w:val="48"/>
        </w:numPr>
        <w:spacing w:before="240" w:after="160" w:line="276" w:lineRule="auto"/>
      </w:pPr>
      <w:r>
        <w:lastRenderedPageBreak/>
        <w:t xml:space="preserve">Feliciano, L., et al. (2012). Efficacies of Sodium Hypochlorite and Quaternary Ammonium Sanitizers for Reduction of Norovirus and Selected Bacteria during Ware-Washing Operations. </w:t>
      </w:r>
      <w:proofErr w:type="spellStart"/>
      <w:r>
        <w:t>PLoS</w:t>
      </w:r>
      <w:proofErr w:type="spellEnd"/>
      <w:r>
        <w:t xml:space="preserve"> ONE 7(12): e50273.</w:t>
      </w:r>
    </w:p>
    <w:p w14:paraId="03B502CE" w14:textId="77777777" w:rsidR="0037011B" w:rsidRDefault="0037011B" w:rsidP="0037011B">
      <w:pPr>
        <w:pStyle w:val="ListParagraph"/>
        <w:numPr>
          <w:ilvl w:val="0"/>
          <w:numId w:val="48"/>
        </w:numPr>
        <w:spacing w:before="240" w:after="160" w:line="276" w:lineRule="auto"/>
      </w:pPr>
      <w:r>
        <w:t>Julian, T. R., et al. (2014). Evaluating Efficacy of Field-Generated Electrochemical Oxidants on Disinfection of Fomites Using Bacteriophage MS2 and Mouse Norovirus MNV-1 as Pathogenic Virus Surrogates. Food and Environmental Virology 6(2): 145-155.</w:t>
      </w:r>
    </w:p>
    <w:p w14:paraId="52395AB2" w14:textId="77777777" w:rsidR="0037011B" w:rsidRDefault="0037011B" w:rsidP="0037011B">
      <w:pPr>
        <w:pStyle w:val="ListParagraph"/>
        <w:numPr>
          <w:ilvl w:val="0"/>
          <w:numId w:val="48"/>
        </w:numPr>
        <w:spacing w:before="240" w:after="160" w:line="276" w:lineRule="auto"/>
      </w:pPr>
      <w:r>
        <w:t>Kim, S.-W., et al. (2012). Chlorine treatment to inactivate norovirus on food contact surfaces. Journal of food protection 75(1): 184-188.</w:t>
      </w:r>
    </w:p>
    <w:p w14:paraId="7D5951E6" w14:textId="77777777" w:rsidR="0037011B" w:rsidRDefault="0037011B" w:rsidP="0037011B">
      <w:pPr>
        <w:pStyle w:val="ListParagraph"/>
        <w:numPr>
          <w:ilvl w:val="0"/>
          <w:numId w:val="48"/>
        </w:numPr>
        <w:spacing w:before="240" w:after="160" w:line="276" w:lineRule="auto"/>
      </w:pPr>
      <w:r>
        <w:t>Yeargin, T., et al. (2015). Recovery and disinfection of two human norovirus surrogates, feline calicivirus and murine norovirus, from hard nonporous and soft porous surfaces. Journal of Food Protection 78(10): 1842-1850.</w:t>
      </w:r>
    </w:p>
    <w:p w14:paraId="66A7F2B1" w14:textId="77777777" w:rsidR="0037011B" w:rsidRDefault="0037011B" w:rsidP="0037011B">
      <w:pPr>
        <w:pStyle w:val="ListParagraph"/>
        <w:numPr>
          <w:ilvl w:val="0"/>
          <w:numId w:val="48"/>
        </w:numPr>
        <w:spacing w:before="240" w:after="160" w:line="276" w:lineRule="auto"/>
      </w:pPr>
      <w:proofErr w:type="spellStart"/>
      <w:r>
        <w:t>Sakon</w:t>
      </w:r>
      <w:proofErr w:type="spellEnd"/>
      <w:r>
        <w:t>, N., et al. (2005). Norovirus outbreaks at nursing homes in Osaka, Japan. Japanese Journal of Infectious Diseases 58(4): 254-255.</w:t>
      </w:r>
    </w:p>
    <w:p w14:paraId="5416602B" w14:textId="77777777" w:rsidR="0037011B" w:rsidRDefault="0037011B" w:rsidP="0037011B">
      <w:pPr>
        <w:pStyle w:val="ListParagraph"/>
        <w:numPr>
          <w:ilvl w:val="0"/>
          <w:numId w:val="48"/>
        </w:numPr>
        <w:spacing w:before="240" w:after="160" w:line="276" w:lineRule="auto"/>
      </w:pPr>
      <w:r>
        <w:t xml:space="preserve">Park G.W., et al. (2007). Evaluation of liquid- and fog-based application of </w:t>
      </w:r>
      <w:proofErr w:type="spellStart"/>
      <w:r>
        <w:t>sterilox</w:t>
      </w:r>
      <w:proofErr w:type="spellEnd"/>
      <w:r>
        <w:t xml:space="preserve"> hypochlorous acid solution for surface inactivation of human norovirus. Applied and Environmental Microbiology 73(14): 4463-4468.</w:t>
      </w:r>
    </w:p>
    <w:p w14:paraId="797432BA" w14:textId="77777777" w:rsidR="0037011B" w:rsidRDefault="0037011B" w:rsidP="0037011B">
      <w:pPr>
        <w:pStyle w:val="ListParagraph"/>
        <w:numPr>
          <w:ilvl w:val="0"/>
          <w:numId w:val="48"/>
        </w:numPr>
        <w:spacing w:before="240" w:after="160" w:line="276" w:lineRule="auto"/>
      </w:pPr>
      <w:r>
        <w:t>Lee, H.-W., et al. (2021). Optimizing operating parameters of electric ultra-low volume sprayer with slightly acidic electrolyzed solution for efficient virucidal activity on environmental surfaces. International Journal of Environmental Research and Public Health 18(19): 10183.</w:t>
      </w:r>
    </w:p>
    <w:p w14:paraId="79CAF2FE" w14:textId="77777777" w:rsidR="0037011B" w:rsidRDefault="0037011B" w:rsidP="0037011B">
      <w:pPr>
        <w:pStyle w:val="ListParagraph"/>
        <w:numPr>
          <w:ilvl w:val="0"/>
          <w:numId w:val="48"/>
        </w:numPr>
        <w:spacing w:before="240" w:after="160" w:line="276" w:lineRule="auto"/>
      </w:pPr>
      <w:proofErr w:type="spellStart"/>
      <w:r>
        <w:t>Montazeri</w:t>
      </w:r>
      <w:proofErr w:type="spellEnd"/>
      <w:r>
        <w:t>, N., et al. (2017). Virucidal Activity of Fogged Chlorine Dioxide- and Hydrogen Peroxide-Based Disinfectants against Human Norovirus and Its Surrogate, Feline Calicivirus, on Hard-to-Reach Surfaces. Frontiers in microbiology 8: 1031.</w:t>
      </w:r>
    </w:p>
    <w:p w14:paraId="79D8E9FD" w14:textId="77777777" w:rsidR="0037011B" w:rsidRDefault="0037011B" w:rsidP="0037011B">
      <w:pPr>
        <w:pStyle w:val="ListParagraph"/>
        <w:numPr>
          <w:ilvl w:val="0"/>
          <w:numId w:val="48"/>
        </w:numPr>
        <w:spacing w:before="240" w:after="160" w:line="276" w:lineRule="auto"/>
      </w:pPr>
      <w:proofErr w:type="spellStart"/>
      <w:r>
        <w:t>Chander</w:t>
      </w:r>
      <w:proofErr w:type="spellEnd"/>
      <w:r>
        <w:t xml:space="preserve">, Y., et al. (2012). Antiviral activity of </w:t>
      </w:r>
      <w:proofErr w:type="spellStart"/>
      <w:r>
        <w:t>Ecasol</w:t>
      </w:r>
      <w:proofErr w:type="spellEnd"/>
      <w:r>
        <w:t xml:space="preserve"> against feline calicivirus, a surrogate of human norovirus. Journal of Infection and Public Health 5(6): 420-424.</w:t>
      </w:r>
    </w:p>
    <w:p w14:paraId="11958886" w14:textId="77777777" w:rsidR="0037011B" w:rsidRDefault="0037011B" w:rsidP="0037011B">
      <w:pPr>
        <w:pStyle w:val="ListParagraph"/>
        <w:numPr>
          <w:ilvl w:val="0"/>
          <w:numId w:val="48"/>
        </w:numPr>
        <w:spacing w:before="240" w:after="160" w:line="276" w:lineRule="auto"/>
      </w:pPr>
      <w:r>
        <w:t>Fang J., Jennifer L. Cannon, Yen-Con Hung, The efficacy of EO waters on inactivating norovirus and hepatitis A virus in the presence of organic matter, Food Control, Volume 61, 2016, Pages 13-19</w:t>
      </w:r>
    </w:p>
    <w:p w14:paraId="30A328AA" w14:textId="77777777" w:rsidR="0037011B" w:rsidRDefault="0037011B" w:rsidP="0037011B">
      <w:pPr>
        <w:pStyle w:val="ListParagraph"/>
        <w:numPr>
          <w:ilvl w:val="0"/>
          <w:numId w:val="48"/>
        </w:numPr>
        <w:spacing w:before="240" w:after="160" w:line="276" w:lineRule="auto"/>
      </w:pPr>
      <w:r>
        <w:t>Becker, B., et al. (2019). Evaluation of the virucidal efficacy of disinfectant wipes with a test method simulating practical conditions. Antimicrobial resistance and infection control 8: 121.</w:t>
      </w:r>
    </w:p>
    <w:p w14:paraId="7E5BCD22" w14:textId="77777777" w:rsidR="0037011B" w:rsidRDefault="0037011B" w:rsidP="0037011B">
      <w:pPr>
        <w:pStyle w:val="ListParagraph"/>
        <w:numPr>
          <w:ilvl w:val="0"/>
          <w:numId w:val="48"/>
        </w:numPr>
        <w:spacing w:before="240" w:after="160" w:line="276" w:lineRule="auto"/>
      </w:pPr>
      <w:r>
        <w:t>Malik, Y. S., et al. (2006). Disinfection of fabrics and carpets artificially contaminated with calicivirus: relevance in institutional and healthcare centres. Journal of Hospital Infection 63(2): 205-210.</w:t>
      </w:r>
    </w:p>
    <w:p w14:paraId="22D98737" w14:textId="77777777" w:rsidR="0037011B" w:rsidRDefault="0037011B" w:rsidP="0037011B">
      <w:pPr>
        <w:pStyle w:val="ListParagraph"/>
        <w:numPr>
          <w:ilvl w:val="0"/>
          <w:numId w:val="48"/>
        </w:numPr>
        <w:spacing w:before="240" w:after="160" w:line="276" w:lineRule="auto"/>
      </w:pPr>
      <w:r>
        <w:t xml:space="preserve">Thevenin, T., et al. (2013). Inactivation of coxsackievirus B4, feline calicivirus and herpes simplex virus type 1: Unexpected virucidal effect of a disinfectant on a non-enveloped virus applied onto a surface. </w:t>
      </w:r>
      <w:proofErr w:type="spellStart"/>
      <w:r>
        <w:t>Intervirology</w:t>
      </w:r>
      <w:proofErr w:type="spellEnd"/>
      <w:r>
        <w:t xml:space="preserve"> 56(4): 224-230.</w:t>
      </w:r>
    </w:p>
    <w:p w14:paraId="0E25182F" w14:textId="77777777" w:rsidR="0037011B" w:rsidRDefault="0037011B" w:rsidP="0037011B">
      <w:pPr>
        <w:pStyle w:val="ListParagraph"/>
        <w:numPr>
          <w:ilvl w:val="0"/>
          <w:numId w:val="48"/>
        </w:numPr>
        <w:spacing w:before="240" w:after="160" w:line="276" w:lineRule="auto"/>
      </w:pPr>
      <w:proofErr w:type="spellStart"/>
      <w:r>
        <w:t>Magulski</w:t>
      </w:r>
      <w:proofErr w:type="spellEnd"/>
      <w:r>
        <w:t>, T., et al. (2009). Inactivation of murine norovirus by chemical biocides on stainless steel. BMC Infectious Diseases 9: 107.</w:t>
      </w:r>
    </w:p>
    <w:p w14:paraId="401D7653" w14:textId="77777777" w:rsidR="0037011B" w:rsidRDefault="0037011B" w:rsidP="0037011B">
      <w:pPr>
        <w:pStyle w:val="ListParagraph"/>
        <w:numPr>
          <w:ilvl w:val="0"/>
          <w:numId w:val="48"/>
        </w:numPr>
        <w:spacing w:before="240" w:after="160" w:line="276" w:lineRule="auto"/>
      </w:pPr>
      <w:r>
        <w:lastRenderedPageBreak/>
        <w:t>Malik, Y. S., et al. (2006). Comparative efficacy of ethanol and isopropanol against feline calicivirus, a norovirus surrogate. American Journal of Infection Control 34(1): 31-35.</w:t>
      </w:r>
    </w:p>
    <w:p w14:paraId="45513148" w14:textId="77777777" w:rsidR="0037011B" w:rsidRDefault="0037011B" w:rsidP="0037011B">
      <w:pPr>
        <w:pStyle w:val="ListParagraph"/>
        <w:numPr>
          <w:ilvl w:val="0"/>
          <w:numId w:val="48"/>
        </w:numPr>
        <w:spacing w:before="240" w:after="160" w:line="276" w:lineRule="auto"/>
      </w:pPr>
      <w:r>
        <w:t xml:space="preserve">Holmdahl T., Inga </w:t>
      </w:r>
      <w:proofErr w:type="spellStart"/>
      <w:r>
        <w:t>Odenholt</w:t>
      </w:r>
      <w:proofErr w:type="spellEnd"/>
      <w:r>
        <w:t xml:space="preserve">, Kristian </w:t>
      </w:r>
      <w:proofErr w:type="spellStart"/>
      <w:r>
        <w:t>Riesbeck</w:t>
      </w:r>
      <w:proofErr w:type="spellEnd"/>
      <w:r>
        <w:t xml:space="preserve">, </w:t>
      </w:r>
      <w:proofErr w:type="spellStart"/>
      <w:r>
        <w:t>Patrik</w:t>
      </w:r>
      <w:proofErr w:type="spellEnd"/>
      <w:r>
        <w:t xml:space="preserve"> </w:t>
      </w:r>
      <w:proofErr w:type="spellStart"/>
      <w:r>
        <w:t>Medstrand</w:t>
      </w:r>
      <w:proofErr w:type="spellEnd"/>
      <w:r>
        <w:t xml:space="preserve"> &amp; Anders </w:t>
      </w:r>
      <w:proofErr w:type="spellStart"/>
      <w:r>
        <w:t>Widell</w:t>
      </w:r>
      <w:proofErr w:type="spellEnd"/>
      <w:r>
        <w:t xml:space="preserve"> (2019) Hydrogen peroxide vapour treatment inactivates norovirus but has limited effect on post-treatment viral RNA levels, Infectious Diseases, 51:3, 197-205</w:t>
      </w:r>
    </w:p>
    <w:p w14:paraId="56DC7CE8" w14:textId="77777777" w:rsidR="0037011B" w:rsidRDefault="0037011B" w:rsidP="0037011B">
      <w:pPr>
        <w:pStyle w:val="ListParagraph"/>
        <w:numPr>
          <w:ilvl w:val="0"/>
          <w:numId w:val="48"/>
        </w:numPr>
        <w:spacing w:before="240" w:after="160" w:line="276" w:lineRule="auto"/>
      </w:pPr>
      <w:r>
        <w:t>Bentley, K., et al. (2012). Hydrogen peroxide vapour decontamination of surfaces artificially contaminated with norovirus surrogate feline calicivirus. Journal of Hospital Infection 80(2): 116-121.</w:t>
      </w:r>
    </w:p>
    <w:p w14:paraId="63B0C3BE" w14:textId="77777777" w:rsidR="0037011B" w:rsidRDefault="0037011B" w:rsidP="0037011B">
      <w:pPr>
        <w:pStyle w:val="ListParagraph"/>
        <w:numPr>
          <w:ilvl w:val="0"/>
          <w:numId w:val="48"/>
        </w:numPr>
        <w:spacing w:before="240" w:after="160" w:line="276" w:lineRule="auto"/>
      </w:pPr>
      <w:r>
        <w:t>Holmdahl, T., et al. (2016). Hydrogen peroxide vapor decontamination in a patient room using feline Calicivirus and Murine Norovirus as surrogate markers for human norovirus. Infection Control and Hospital Epidemiology 37(5): 561-566.</w:t>
      </w:r>
    </w:p>
    <w:p w14:paraId="0F524CB5" w14:textId="77777777" w:rsidR="0037011B" w:rsidRDefault="0037011B" w:rsidP="0037011B">
      <w:pPr>
        <w:pStyle w:val="ListParagraph"/>
        <w:numPr>
          <w:ilvl w:val="0"/>
          <w:numId w:val="48"/>
        </w:numPr>
        <w:spacing w:before="240" w:after="160" w:line="276" w:lineRule="auto"/>
      </w:pPr>
      <w:r>
        <w:t>Buckley, D., et al. (2018). Efficacy of Silver Dihydrogen Citrate and Steam Vapor against a Human Norovirus Surrogate, Feline Calicivirus, in Suspension, on Glass, and on Carpet. Applied and environmental microbiology 84(12).</w:t>
      </w:r>
    </w:p>
    <w:p w14:paraId="635578D2" w14:textId="77777777" w:rsidR="0037011B" w:rsidRDefault="0037011B" w:rsidP="0037011B">
      <w:pPr>
        <w:pStyle w:val="ListParagraph"/>
        <w:numPr>
          <w:ilvl w:val="0"/>
          <w:numId w:val="48"/>
        </w:numPr>
        <w:spacing w:before="240" w:after="160" w:line="276" w:lineRule="auto"/>
      </w:pPr>
      <w:r>
        <w:t>Hudson, J. B., et al. (2007). Inactivation of Norovirus by ozone gas in conditions relevant to healthcare. Journal of Hospital Infection 66(1): 40-45.</w:t>
      </w:r>
    </w:p>
    <w:p w14:paraId="6108EB8D" w14:textId="77777777" w:rsidR="0037011B" w:rsidRDefault="0037011B" w:rsidP="0037011B">
      <w:pPr>
        <w:pStyle w:val="ListParagraph"/>
        <w:numPr>
          <w:ilvl w:val="0"/>
          <w:numId w:val="48"/>
        </w:numPr>
        <w:spacing w:before="240" w:after="160" w:line="276" w:lineRule="auto"/>
      </w:pPr>
      <w:r>
        <w:t>Steinmann, J., et al. (2021). Virucidal efficacy of an ozone-generating system for automated room disinfection. The Journal of hospital infection 116: 16-20.</w:t>
      </w:r>
    </w:p>
    <w:p w14:paraId="2E416334" w14:textId="77777777" w:rsidR="0037011B" w:rsidRDefault="0037011B" w:rsidP="0037011B">
      <w:pPr>
        <w:pStyle w:val="ListParagraph"/>
        <w:numPr>
          <w:ilvl w:val="0"/>
          <w:numId w:val="48"/>
        </w:numPr>
        <w:spacing w:before="240" w:after="160" w:line="276" w:lineRule="auto"/>
      </w:pPr>
      <w:r>
        <w:t>Manuel, C. S., et al. (2017). Efficacy of a disinfectant containing silver dihydrogen citrate against GI.6 and GII.4 human norovirus. Journal of Applied Microbiology 122(1): 78-86.</w:t>
      </w:r>
    </w:p>
    <w:p w14:paraId="1D8799B6" w14:textId="77777777" w:rsidR="0037011B" w:rsidRDefault="0037011B" w:rsidP="0037011B">
      <w:pPr>
        <w:pStyle w:val="ListParagraph"/>
        <w:numPr>
          <w:ilvl w:val="0"/>
          <w:numId w:val="48"/>
        </w:numPr>
        <w:spacing w:before="240" w:after="160" w:line="276" w:lineRule="auto"/>
      </w:pPr>
      <w:r>
        <w:t xml:space="preserve">Cannon, J. L., et al. (2012). Efficacy of a </w:t>
      </w:r>
      <w:proofErr w:type="spellStart"/>
      <w:r>
        <w:t>levulinic</w:t>
      </w:r>
      <w:proofErr w:type="spellEnd"/>
      <w:r>
        <w:t xml:space="preserve"> acid plus sodium dodecyl </w:t>
      </w:r>
      <w:proofErr w:type="spellStart"/>
      <w:r>
        <w:t>sulfate</w:t>
      </w:r>
      <w:proofErr w:type="spellEnd"/>
      <w:r>
        <w:t>-based sanitizer on inactivation of human norovirus surrogates. Journal of food protection 75(8): 1532-1535.</w:t>
      </w:r>
    </w:p>
    <w:p w14:paraId="76208A18" w14:textId="77777777" w:rsidR="0037011B" w:rsidRDefault="0037011B" w:rsidP="0037011B">
      <w:pPr>
        <w:pStyle w:val="ListParagraph"/>
        <w:numPr>
          <w:ilvl w:val="0"/>
          <w:numId w:val="48"/>
        </w:numPr>
        <w:spacing w:before="240" w:after="160" w:line="276" w:lineRule="auto"/>
      </w:pPr>
      <w:proofErr w:type="spellStart"/>
      <w:r>
        <w:t>Verhaelen</w:t>
      </w:r>
      <w:proofErr w:type="spellEnd"/>
      <w:r>
        <w:t>, K., et al. (2014). Wipes coated with a singlet-oxygen-producing photosensitizer are effective against human influenza virus but not against norovirus. Applied and environmental microbiology 80(14): 4391-4397.</w:t>
      </w:r>
    </w:p>
    <w:p w14:paraId="595EB6A6" w14:textId="77777777" w:rsidR="0037011B" w:rsidRDefault="0037011B" w:rsidP="0037011B">
      <w:pPr>
        <w:pStyle w:val="ListParagraph"/>
        <w:numPr>
          <w:ilvl w:val="0"/>
          <w:numId w:val="48"/>
        </w:numPr>
        <w:spacing w:before="240" w:after="160" w:line="276" w:lineRule="auto"/>
      </w:pPr>
      <w:r>
        <w:t xml:space="preserve">Warnes, S. L. and C. W. Keevil (2013). Inactivation of Norovirus on Dry Copper Alloy Surfaces. </w:t>
      </w:r>
      <w:proofErr w:type="spellStart"/>
      <w:r>
        <w:t>PLoS</w:t>
      </w:r>
      <w:proofErr w:type="spellEnd"/>
      <w:r>
        <w:t xml:space="preserve"> ONE 8(9): e75017.</w:t>
      </w:r>
    </w:p>
    <w:p w14:paraId="2191E8EE" w14:textId="77777777" w:rsidR="0037011B" w:rsidRDefault="0037011B" w:rsidP="0037011B">
      <w:pPr>
        <w:pStyle w:val="ListParagraph"/>
        <w:numPr>
          <w:ilvl w:val="0"/>
          <w:numId w:val="48"/>
        </w:numPr>
        <w:spacing w:before="240" w:after="160" w:line="276" w:lineRule="auto"/>
      </w:pPr>
      <w:r>
        <w:t>Gerba, C. P., et al. (2016). Wide-spectrum activity of a silver-impregnated fabric. American journal of infection control 44(6): 689-690.</w:t>
      </w:r>
    </w:p>
    <w:p w14:paraId="75A1B824" w14:textId="77777777" w:rsidR="0037011B" w:rsidRDefault="0037011B" w:rsidP="0037011B">
      <w:pPr>
        <w:pStyle w:val="ListParagraph"/>
        <w:numPr>
          <w:ilvl w:val="0"/>
          <w:numId w:val="48"/>
        </w:numPr>
        <w:spacing w:before="240" w:after="160" w:line="276" w:lineRule="auto"/>
      </w:pPr>
      <w:r>
        <w:t>Manuel, C. S., et al. (2015). Destruction of the Capsid and Genome of GII.4 Human Norovirus Occurs during Exposure to Metal Alloys Containing Copper. Applied and environmental microbiology 81(15): 4940-4946.</w:t>
      </w:r>
    </w:p>
    <w:p w14:paraId="58223A6F" w14:textId="77777777" w:rsidR="0037011B" w:rsidRDefault="0037011B" w:rsidP="0037011B">
      <w:pPr>
        <w:pStyle w:val="ListParagraph"/>
        <w:numPr>
          <w:ilvl w:val="0"/>
          <w:numId w:val="48"/>
        </w:numPr>
        <w:spacing w:before="240" w:after="160" w:line="276" w:lineRule="auto"/>
      </w:pPr>
      <w:r>
        <w:t>Gibson, K. E., et al. (2012). Removal and transfer of viruses on food contact surfaces by cleaning cloths. Applied and Environmental Microbiology 78(9): 3037-3044.</w:t>
      </w:r>
    </w:p>
    <w:p w14:paraId="342889D2" w14:textId="77777777" w:rsidR="0037011B" w:rsidRDefault="0037011B" w:rsidP="0037011B">
      <w:pPr>
        <w:pStyle w:val="ListParagraph"/>
        <w:numPr>
          <w:ilvl w:val="0"/>
          <w:numId w:val="48"/>
        </w:numPr>
        <w:spacing w:before="240" w:after="160" w:line="276" w:lineRule="auto"/>
      </w:pPr>
      <w:proofErr w:type="spellStart"/>
      <w:r w:rsidRPr="005D2246">
        <w:t>Cheesbrough</w:t>
      </w:r>
      <w:proofErr w:type="spellEnd"/>
      <w:r w:rsidRPr="005D2246">
        <w:t xml:space="preserve"> JS, </w:t>
      </w:r>
      <w:proofErr w:type="spellStart"/>
      <w:r w:rsidRPr="005D2246">
        <w:t>Barkess</w:t>
      </w:r>
      <w:proofErr w:type="spellEnd"/>
      <w:r w:rsidRPr="005D2246">
        <w:t>-Jones L, Brown DW. Possible prolonged environmental survival of small round structured viruses. J Hosp Infect. 1997 Apr;35(4):325-6</w:t>
      </w:r>
    </w:p>
    <w:p w14:paraId="123BFA6F" w14:textId="77777777" w:rsidR="0037011B" w:rsidRDefault="0037011B" w:rsidP="0037011B">
      <w:pPr>
        <w:pStyle w:val="ListParagraph"/>
        <w:numPr>
          <w:ilvl w:val="0"/>
          <w:numId w:val="48"/>
        </w:numPr>
        <w:spacing w:before="240" w:after="160" w:line="276" w:lineRule="auto"/>
      </w:pPr>
      <w:r>
        <w:lastRenderedPageBreak/>
        <w:t xml:space="preserve">National Health Service (2021). National Standards of Healthcare Cleanness. </w:t>
      </w:r>
      <w:hyperlink r:id="rId12" w:history="1">
        <w:r w:rsidRPr="00C81D02">
          <w:rPr>
            <w:rStyle w:val="Hyperlink"/>
          </w:rPr>
          <w:t>https://www.england.nhs.uk/wp-content/uploads/2021/04/B0271-national-standards-of-healthcare-cleanliness-2021.pdf. Last accessed 03/05/2022</w:t>
        </w:r>
      </w:hyperlink>
      <w:r>
        <w:t>.</w:t>
      </w:r>
    </w:p>
    <w:p w14:paraId="22033032" w14:textId="77777777" w:rsidR="0037011B" w:rsidRDefault="0037011B" w:rsidP="0037011B">
      <w:pPr>
        <w:pStyle w:val="ListParagraph"/>
        <w:numPr>
          <w:ilvl w:val="0"/>
          <w:numId w:val="48"/>
        </w:numPr>
        <w:spacing w:before="240" w:after="160" w:line="276" w:lineRule="auto"/>
      </w:pPr>
      <w:proofErr w:type="spellStart"/>
      <w:r w:rsidRPr="00241113">
        <w:t>MacCannell</w:t>
      </w:r>
      <w:proofErr w:type="spellEnd"/>
      <w:r>
        <w:t xml:space="preserve"> T.</w:t>
      </w:r>
      <w:r w:rsidRPr="00241113">
        <w:t xml:space="preserve">, </w:t>
      </w:r>
      <w:proofErr w:type="spellStart"/>
      <w:r w:rsidRPr="00241113">
        <w:t>Umscheid</w:t>
      </w:r>
      <w:proofErr w:type="spellEnd"/>
      <w:r>
        <w:t xml:space="preserve"> C.A.</w:t>
      </w:r>
      <w:r w:rsidRPr="00241113">
        <w:t>, Agarwal</w:t>
      </w:r>
      <w:r>
        <w:t xml:space="preserve"> R.K.</w:t>
      </w:r>
      <w:r w:rsidRPr="00241113">
        <w:t>, Lee</w:t>
      </w:r>
      <w:r>
        <w:t xml:space="preserve"> I.</w:t>
      </w:r>
      <w:r w:rsidRPr="00241113">
        <w:t>, Kuntz</w:t>
      </w:r>
      <w:r>
        <w:t xml:space="preserve"> G.</w:t>
      </w:r>
      <w:r w:rsidRPr="00241113">
        <w:t>, Stevenson</w:t>
      </w:r>
      <w:r>
        <w:t xml:space="preserve"> K.B. et al. </w:t>
      </w:r>
      <w:r w:rsidRPr="00241113">
        <w:t>Guideline for the prevention and control of norovirus gastroenteritis outbreaks in healthcare settings</w:t>
      </w:r>
      <w:r>
        <w:t xml:space="preserve">. 2017. Available at: </w:t>
      </w:r>
      <w:hyperlink r:id="rId13" w:history="1">
        <w:r w:rsidRPr="00C81D02">
          <w:rPr>
            <w:rStyle w:val="Hyperlink"/>
          </w:rPr>
          <w:t>https://www.cdc.gov/infectioncontrol/guidelines/norovirus/</w:t>
        </w:r>
      </w:hyperlink>
      <w:r>
        <w:t>. Last accessed: 17/09/2022</w:t>
      </w:r>
    </w:p>
    <w:p w14:paraId="6F5CA6A8" w14:textId="77777777" w:rsidR="0037011B" w:rsidRDefault="0037011B" w:rsidP="0037011B">
      <w:pPr>
        <w:pStyle w:val="ListParagraph"/>
        <w:numPr>
          <w:ilvl w:val="0"/>
          <w:numId w:val="48"/>
        </w:numPr>
        <w:spacing w:before="240" w:after="160" w:line="276" w:lineRule="auto"/>
      </w:pPr>
      <w:r>
        <w:t xml:space="preserve">Department of Health. The Health and Social Care Act 2008. Code of Practice on the prevention and control of infections and related guidance. 2015. Available at: </w:t>
      </w:r>
      <w:hyperlink r:id="rId14" w:history="1">
        <w:r w:rsidRPr="00C81D02">
          <w:rPr>
            <w:rStyle w:val="Hyperlink"/>
          </w:rPr>
          <w:t>https://assets.publishing.service.gov.uk/government/uploads/system/uploads/attachment_data/file/449049/Code_of_practice_280715_acc.pdf</w:t>
        </w:r>
      </w:hyperlink>
      <w:r>
        <w:t>. Last accessed: 17/09/2022</w:t>
      </w:r>
    </w:p>
    <w:p w14:paraId="50727996" w14:textId="77777777" w:rsidR="0037011B" w:rsidRDefault="0037011B" w:rsidP="0037011B">
      <w:pPr>
        <w:pStyle w:val="ListParagraph"/>
        <w:numPr>
          <w:ilvl w:val="0"/>
          <w:numId w:val="48"/>
        </w:numPr>
        <w:spacing w:before="240" w:after="160" w:line="276" w:lineRule="auto"/>
      </w:pPr>
      <w:r w:rsidRPr="009A3398">
        <w:t>Dyas, A. and H. Gentry (2014). Communal beverage trolleys are an infection risk. Journal of Hospital Infection 88(1): 52</w:t>
      </w:r>
    </w:p>
    <w:p w14:paraId="52AF4163" w14:textId="77777777" w:rsidR="0037011B" w:rsidRDefault="0037011B" w:rsidP="0037011B">
      <w:pPr>
        <w:pStyle w:val="ListParagraph"/>
        <w:numPr>
          <w:ilvl w:val="0"/>
          <w:numId w:val="48"/>
        </w:numPr>
        <w:spacing w:before="240" w:after="160" w:line="276" w:lineRule="auto"/>
      </w:pPr>
      <w:r>
        <w:t xml:space="preserve">Department of Health. Health Technical Memorandum 01-04: Decontamination of linen for health and social care. 2016. Available at: </w:t>
      </w:r>
      <w:hyperlink r:id="rId15" w:history="1">
        <w:r w:rsidRPr="00C81D02">
          <w:rPr>
            <w:rStyle w:val="Hyperlink"/>
          </w:rPr>
          <w:t>https://www.england.nhs.uk/wp-content/uploads/2021/05/Social_care.pdf</w:t>
        </w:r>
      </w:hyperlink>
      <w:r>
        <w:t xml:space="preserve"> Last accessed: 17/09/2022</w:t>
      </w:r>
    </w:p>
    <w:p w14:paraId="286C6143" w14:textId="77777777" w:rsidR="0037011B" w:rsidRDefault="0037011B" w:rsidP="0037011B">
      <w:pPr>
        <w:pStyle w:val="ListParagraph"/>
        <w:numPr>
          <w:ilvl w:val="0"/>
          <w:numId w:val="48"/>
        </w:numPr>
        <w:spacing w:before="240" w:after="160" w:line="276" w:lineRule="auto"/>
      </w:pPr>
      <w:r w:rsidRPr="00841A88">
        <w:t xml:space="preserve">Eriksen, H. M., et al. (2004). Gastro-enteritis outbreak among Nordic patients with psoriasis in a health centre in Gran </w:t>
      </w:r>
      <w:proofErr w:type="spellStart"/>
      <w:r w:rsidRPr="00841A88">
        <w:t>Canaria</w:t>
      </w:r>
      <w:proofErr w:type="spellEnd"/>
      <w:r w:rsidRPr="00841A88">
        <w:t>, Spain: A cohort study. BMC Infectious Diseases 4: 45.</w:t>
      </w:r>
    </w:p>
    <w:p w14:paraId="60DC0933" w14:textId="77777777" w:rsidR="0037011B" w:rsidRDefault="0037011B" w:rsidP="0037011B">
      <w:pPr>
        <w:pStyle w:val="ListParagraph"/>
        <w:numPr>
          <w:ilvl w:val="0"/>
          <w:numId w:val="48"/>
        </w:numPr>
        <w:spacing w:before="240" w:after="160" w:line="276" w:lineRule="auto"/>
      </w:pPr>
      <w:proofErr w:type="spellStart"/>
      <w:r w:rsidRPr="00841A88">
        <w:t>Vivancos</w:t>
      </w:r>
      <w:proofErr w:type="spellEnd"/>
      <w:r w:rsidRPr="00841A88">
        <w:t>, R., et al. (2010). Effect of exclusion policy on the control of outbreaks of suspected viral gastroenteritis: Analysis of outbreak investigations in care homes. American Journal of Infection Control 38(2): 139-143</w:t>
      </w:r>
    </w:p>
    <w:p w14:paraId="7459DCC4" w14:textId="77777777" w:rsidR="0037011B" w:rsidRDefault="0037011B" w:rsidP="0037011B">
      <w:pPr>
        <w:pStyle w:val="ListParagraph"/>
        <w:numPr>
          <w:ilvl w:val="0"/>
          <w:numId w:val="48"/>
        </w:numPr>
        <w:spacing w:before="240" w:after="160" w:line="276" w:lineRule="auto"/>
      </w:pPr>
      <w:r>
        <w:t>Rossignol, J. F. and Y. M. El-</w:t>
      </w:r>
      <w:proofErr w:type="spellStart"/>
      <w:r>
        <w:t>Gohary</w:t>
      </w:r>
      <w:proofErr w:type="spellEnd"/>
      <w:r>
        <w:t xml:space="preserve"> (2006). Nitazoxanide in the treatment of viral gastroenteritis: A randomized double-blind placebo-controlled clinical trial. Alimentary Pharmacology and Therapeutics 24(10): 1423-1430.</w:t>
      </w:r>
    </w:p>
    <w:p w14:paraId="367732FB" w14:textId="77777777" w:rsidR="0037011B" w:rsidRDefault="0037011B" w:rsidP="0037011B">
      <w:pPr>
        <w:pStyle w:val="ListParagraph"/>
        <w:numPr>
          <w:ilvl w:val="0"/>
          <w:numId w:val="48"/>
        </w:numPr>
        <w:spacing w:before="240" w:after="160" w:line="276" w:lineRule="auto"/>
      </w:pPr>
      <w:r>
        <w:t>Steinhoff, M. C., et al. (1980). Bismuth subsalicylate therapy of viral gastroenteritis. Gastroenterology 78(6): 1495-1499.</w:t>
      </w:r>
    </w:p>
    <w:p w14:paraId="15EB90B1" w14:textId="77777777" w:rsidR="0037011B" w:rsidRDefault="0037011B" w:rsidP="0037011B">
      <w:pPr>
        <w:pStyle w:val="ListParagraph"/>
        <w:numPr>
          <w:ilvl w:val="0"/>
          <w:numId w:val="48"/>
        </w:numPr>
        <w:spacing w:before="240" w:after="160" w:line="276" w:lineRule="auto"/>
      </w:pPr>
      <w:r>
        <w:t>Gustafson, T. L., et al. (1983). Protective effect of anticholinergic drugs and psyllium in a nosocomial outbreak of Norwalk gastroenteritis. Journal of Hospital Infection 4(4): 367-374.</w:t>
      </w:r>
    </w:p>
    <w:p w14:paraId="091A910C" w14:textId="77777777" w:rsidR="0037011B" w:rsidRDefault="0037011B" w:rsidP="0037011B">
      <w:pPr>
        <w:pStyle w:val="ListParagraph"/>
        <w:numPr>
          <w:ilvl w:val="0"/>
          <w:numId w:val="48"/>
        </w:numPr>
        <w:spacing w:before="240" w:after="160" w:line="276" w:lineRule="auto"/>
      </w:pPr>
      <w:r>
        <w:t xml:space="preserve">Hong Chau, T. T., et al. (2018). A Double-blind, Randomized, Placebo-controlled Trial of Lactobacillus acidophilus for the Treatment of Acute Watery </w:t>
      </w:r>
      <w:proofErr w:type="spellStart"/>
      <w:r>
        <w:t>Diarrhea</w:t>
      </w:r>
      <w:proofErr w:type="spellEnd"/>
      <w:r>
        <w:t xml:space="preserve"> in Vietnamese Children. The </w:t>
      </w:r>
      <w:proofErr w:type="spellStart"/>
      <w:r>
        <w:t>Pediatric</w:t>
      </w:r>
      <w:proofErr w:type="spellEnd"/>
      <w:r>
        <w:t xml:space="preserve"> infectious disease journal 37(1): 35-42</w:t>
      </w:r>
    </w:p>
    <w:p w14:paraId="5B3B3C6B" w14:textId="77777777" w:rsidR="0037011B" w:rsidRDefault="0037011B" w:rsidP="0037011B">
      <w:pPr>
        <w:pStyle w:val="ListParagraph"/>
        <w:numPr>
          <w:ilvl w:val="0"/>
          <w:numId w:val="48"/>
        </w:numPr>
        <w:spacing w:before="240" w:after="160" w:line="276" w:lineRule="auto"/>
      </w:pPr>
      <w:r>
        <w:t xml:space="preserve">Nagata S, </w:t>
      </w:r>
      <w:proofErr w:type="spellStart"/>
      <w:r>
        <w:t>Asahara</w:t>
      </w:r>
      <w:proofErr w:type="spellEnd"/>
      <w:r>
        <w:t xml:space="preserve"> T, </w:t>
      </w:r>
      <w:proofErr w:type="spellStart"/>
      <w:r>
        <w:t>Ohta</w:t>
      </w:r>
      <w:proofErr w:type="spellEnd"/>
      <w:r>
        <w:t xml:space="preserve"> T, et al. Effect of the continuous intake of probiotic fermented milk containing Lactobacillus </w:t>
      </w:r>
      <w:proofErr w:type="spellStart"/>
      <w:r>
        <w:t>casei</w:t>
      </w:r>
      <w:proofErr w:type="spellEnd"/>
      <w:r>
        <w:t xml:space="preserve"> strain Shirota on fever in a mass outbreak of norovirus gastroenteritis and the </w:t>
      </w:r>
      <w:proofErr w:type="spellStart"/>
      <w:r>
        <w:t>fecal</w:t>
      </w:r>
      <w:proofErr w:type="spellEnd"/>
      <w:r>
        <w:t xml:space="preserve"> microflora in a health service facility for the aged. Br J </w:t>
      </w:r>
      <w:proofErr w:type="spellStart"/>
      <w:r>
        <w:t>Nutr</w:t>
      </w:r>
      <w:proofErr w:type="spellEnd"/>
      <w:r>
        <w:t>. 2011;106:549–56</w:t>
      </w:r>
    </w:p>
    <w:p w14:paraId="0A89C485" w14:textId="77777777" w:rsidR="0037011B" w:rsidRDefault="0037011B" w:rsidP="0037011B">
      <w:pPr>
        <w:pStyle w:val="ListParagraph"/>
        <w:numPr>
          <w:ilvl w:val="0"/>
          <w:numId w:val="48"/>
        </w:numPr>
        <w:spacing w:before="240" w:after="160" w:line="276" w:lineRule="auto"/>
      </w:pPr>
      <w:proofErr w:type="spellStart"/>
      <w:r>
        <w:lastRenderedPageBreak/>
        <w:t>Tikhomirova</w:t>
      </w:r>
      <w:proofErr w:type="spellEnd"/>
      <w:r>
        <w:t xml:space="preserve">, O. V., et al. (2009). Clinical and immunological efficiency of </w:t>
      </w:r>
      <w:proofErr w:type="spellStart"/>
      <w:r>
        <w:t>anaferon</w:t>
      </w:r>
      <w:proofErr w:type="spellEnd"/>
      <w:r>
        <w:t xml:space="preserve"> (</w:t>
      </w:r>
      <w:proofErr w:type="spellStart"/>
      <w:r>
        <w:t>pediatric</w:t>
      </w:r>
      <w:proofErr w:type="spellEnd"/>
      <w:r>
        <w:t xml:space="preserve"> formulation) in calicivirus infection in children. Bulletin of Experimental Biology and Medicine 148(2): 287-290.</w:t>
      </w:r>
    </w:p>
    <w:p w14:paraId="6244C827" w14:textId="77777777" w:rsidR="0037011B" w:rsidRPr="00A23CA8" w:rsidRDefault="0037011B" w:rsidP="0037011B">
      <w:pPr>
        <w:pStyle w:val="ListParagraph"/>
        <w:numPr>
          <w:ilvl w:val="0"/>
          <w:numId w:val="48"/>
        </w:numPr>
        <w:spacing w:after="200" w:line="276" w:lineRule="auto"/>
        <w:jc w:val="both"/>
        <w:rPr>
          <w:rFonts w:cstheme="minorHAnsi"/>
        </w:rPr>
      </w:pPr>
      <w:r>
        <w:rPr>
          <w:rFonts w:cstheme="minorHAnsi"/>
        </w:rPr>
        <w:t xml:space="preserve">Green KY. Norovirus infection in immunocompromised hosts. Clin </w:t>
      </w:r>
      <w:proofErr w:type="spellStart"/>
      <w:r>
        <w:rPr>
          <w:rFonts w:cstheme="minorHAnsi"/>
        </w:rPr>
        <w:t>Microbiolo</w:t>
      </w:r>
      <w:proofErr w:type="spellEnd"/>
      <w:r>
        <w:rPr>
          <w:rFonts w:cstheme="minorHAnsi"/>
        </w:rPr>
        <w:t xml:space="preserve"> Infect. 2014;20:717-723.</w:t>
      </w:r>
    </w:p>
    <w:p w14:paraId="631D0028" w14:textId="77777777" w:rsidR="0037011B" w:rsidRDefault="0037011B" w:rsidP="0037011B">
      <w:pPr>
        <w:pStyle w:val="ListParagraph"/>
        <w:numPr>
          <w:ilvl w:val="0"/>
          <w:numId w:val="48"/>
        </w:numPr>
        <w:spacing w:after="200" w:line="276" w:lineRule="auto"/>
        <w:jc w:val="both"/>
      </w:pPr>
      <w:proofErr w:type="spellStart"/>
      <w:r>
        <w:t>Rockx</w:t>
      </w:r>
      <w:proofErr w:type="spellEnd"/>
      <w:r>
        <w:t xml:space="preserve"> B, De Wit M et al. Natural history of human calicivirus infection: a prospective cohort study. Clinical infectious diseases. 2002 Aug 1:35(3):246-53. PubMed OMID: 12115089.</w:t>
      </w:r>
    </w:p>
    <w:p w14:paraId="6A9BFBA9" w14:textId="77777777" w:rsidR="0037011B" w:rsidRPr="00DE00AE" w:rsidRDefault="0037011B" w:rsidP="0037011B">
      <w:pPr>
        <w:pStyle w:val="ListParagraph"/>
        <w:numPr>
          <w:ilvl w:val="0"/>
          <w:numId w:val="48"/>
        </w:numPr>
        <w:autoSpaceDE w:val="0"/>
        <w:autoSpaceDN w:val="0"/>
        <w:adjustRightInd w:val="0"/>
        <w:spacing w:line="276" w:lineRule="auto"/>
        <w:rPr>
          <w:rFonts w:cstheme="minorHAnsi"/>
        </w:rPr>
      </w:pPr>
      <w:r w:rsidRPr="00DE00AE">
        <w:rPr>
          <w:rFonts w:cstheme="minorHAnsi"/>
        </w:rPr>
        <w:t xml:space="preserve">Gallimore, C.I.; Lewis, D.; Taylor, C.; Cant, A.; </w:t>
      </w:r>
      <w:proofErr w:type="spellStart"/>
      <w:r w:rsidRPr="00DE00AE">
        <w:rPr>
          <w:rFonts w:cstheme="minorHAnsi"/>
        </w:rPr>
        <w:t>Gennery</w:t>
      </w:r>
      <w:proofErr w:type="spellEnd"/>
      <w:r w:rsidRPr="00DE00AE">
        <w:rPr>
          <w:rFonts w:cstheme="minorHAnsi"/>
        </w:rPr>
        <w:t xml:space="preserve">, A.; Gray, J.J. Chronic excretion of a norovirus in a child with cartilage hair hypoplasia (CHH). J. Clin. </w:t>
      </w:r>
      <w:proofErr w:type="spellStart"/>
      <w:r w:rsidRPr="00DE00AE">
        <w:rPr>
          <w:rFonts w:cstheme="minorHAnsi"/>
        </w:rPr>
        <w:t>Virol</w:t>
      </w:r>
      <w:proofErr w:type="spellEnd"/>
      <w:r w:rsidRPr="00DE00AE">
        <w:rPr>
          <w:rFonts w:cstheme="minorHAnsi"/>
        </w:rPr>
        <w:t>. 2004, 30, 196–204.</w:t>
      </w:r>
    </w:p>
    <w:p w14:paraId="7D126945" w14:textId="77777777" w:rsidR="0037011B" w:rsidRDefault="0037011B" w:rsidP="0037011B">
      <w:pPr>
        <w:pStyle w:val="ListParagraph"/>
        <w:numPr>
          <w:ilvl w:val="0"/>
          <w:numId w:val="48"/>
        </w:numPr>
        <w:autoSpaceDE w:val="0"/>
        <w:autoSpaceDN w:val="0"/>
        <w:adjustRightInd w:val="0"/>
        <w:spacing w:line="276" w:lineRule="auto"/>
        <w:rPr>
          <w:rFonts w:cstheme="minorHAnsi"/>
        </w:rPr>
      </w:pPr>
      <w:r w:rsidRPr="00DE00AE">
        <w:rPr>
          <w:rFonts w:cstheme="minorHAnsi"/>
        </w:rPr>
        <w:t xml:space="preserve">Woodward, J.; </w:t>
      </w:r>
      <w:proofErr w:type="spellStart"/>
      <w:r w:rsidRPr="00DE00AE">
        <w:rPr>
          <w:rFonts w:cstheme="minorHAnsi"/>
        </w:rPr>
        <w:t>Gkrania-Klotsas</w:t>
      </w:r>
      <w:proofErr w:type="spellEnd"/>
      <w:r w:rsidRPr="00DE00AE">
        <w:rPr>
          <w:rFonts w:cstheme="minorHAnsi"/>
        </w:rPr>
        <w:t xml:space="preserve">, E.; </w:t>
      </w:r>
      <w:proofErr w:type="spellStart"/>
      <w:r w:rsidRPr="00DE00AE">
        <w:rPr>
          <w:rFonts w:cstheme="minorHAnsi"/>
        </w:rPr>
        <w:t>Kumararatne</w:t>
      </w:r>
      <w:proofErr w:type="spellEnd"/>
      <w:r w:rsidRPr="00DE00AE">
        <w:rPr>
          <w:rFonts w:cstheme="minorHAnsi"/>
        </w:rPr>
        <w:t>, D. Chronic norovirus infection and common variable immunodeficiency. Clin. Exp. Immunol. 2017, 188, 363–370.</w:t>
      </w:r>
    </w:p>
    <w:p w14:paraId="465D64F7" w14:textId="77777777" w:rsidR="0037011B" w:rsidRDefault="0037011B" w:rsidP="0037011B">
      <w:pPr>
        <w:pStyle w:val="ListParagraph"/>
        <w:numPr>
          <w:ilvl w:val="0"/>
          <w:numId w:val="48"/>
        </w:numPr>
        <w:spacing w:before="240" w:after="160" w:line="276" w:lineRule="auto"/>
      </w:pPr>
      <w:r w:rsidRPr="004B6BC1">
        <w:t xml:space="preserve">Taggart, C., et al. (2019). Comparing a Neutropenic Diet to a Food Safety-Based Diet in </w:t>
      </w:r>
      <w:proofErr w:type="spellStart"/>
      <w:r w:rsidRPr="004B6BC1">
        <w:t>Pediatric</w:t>
      </w:r>
      <w:proofErr w:type="spellEnd"/>
      <w:r w:rsidRPr="004B6BC1">
        <w:t xml:space="preserve"> Patients Undergoing Hematopoietic Stem Cell Transplantation. Biology of Blood and Marrow Transplantation 25(7): 1382-1386.</w:t>
      </w:r>
    </w:p>
    <w:p w14:paraId="07F73CF6" w14:textId="77777777" w:rsidR="0037011B" w:rsidRDefault="0037011B" w:rsidP="0037011B">
      <w:pPr>
        <w:pStyle w:val="ListParagraph"/>
        <w:numPr>
          <w:ilvl w:val="0"/>
          <w:numId w:val="48"/>
        </w:numPr>
        <w:spacing w:before="240" w:after="160" w:line="276" w:lineRule="auto"/>
      </w:pPr>
      <w:r w:rsidRPr="004B6BC1">
        <w:t>Brown, L.-A. K., et al. (2019). A comprehensive characterization of chronic norovirus infection in immunodeficient hosts. The Journal of allergy and clinical immunology 144(5): 1450-1453</w:t>
      </w:r>
    </w:p>
    <w:p w14:paraId="32EA6C0E" w14:textId="77777777" w:rsidR="0037011B" w:rsidRPr="004B6BC1" w:rsidRDefault="0037011B" w:rsidP="0037011B">
      <w:pPr>
        <w:pStyle w:val="ListParagraph"/>
        <w:numPr>
          <w:ilvl w:val="0"/>
          <w:numId w:val="48"/>
        </w:numPr>
        <w:spacing w:before="240" w:after="160" w:line="276" w:lineRule="auto"/>
      </w:pPr>
      <w:r w:rsidRPr="004B6BC1">
        <w:t>Capizzi, T., et al. (2011).</w:t>
      </w:r>
      <w:r>
        <w:t xml:space="preserve"> </w:t>
      </w:r>
      <w:r w:rsidRPr="004B6BC1">
        <w:t xml:space="preserve">Chronic </w:t>
      </w:r>
      <w:proofErr w:type="spellStart"/>
      <w:r w:rsidRPr="004B6BC1">
        <w:t>diarrhea</w:t>
      </w:r>
      <w:proofErr w:type="spellEnd"/>
      <w:r w:rsidRPr="004B6BC1">
        <w:t xml:space="preserve"> associated with persistent norovirus excretion in patients with chronic lymphocytic </w:t>
      </w:r>
      <w:proofErr w:type="spellStart"/>
      <w:r w:rsidRPr="004B6BC1">
        <w:t>leukemia</w:t>
      </w:r>
      <w:proofErr w:type="spellEnd"/>
      <w:r w:rsidRPr="004B6BC1">
        <w:t>: report of two cases. BMC Infectious Diseases 11: 131.</w:t>
      </w:r>
    </w:p>
    <w:p w14:paraId="664021E3" w14:textId="77777777" w:rsidR="0037011B" w:rsidRPr="004B6BC1" w:rsidRDefault="0037011B" w:rsidP="0037011B">
      <w:pPr>
        <w:pStyle w:val="ListParagraph"/>
        <w:numPr>
          <w:ilvl w:val="0"/>
          <w:numId w:val="48"/>
        </w:numPr>
        <w:spacing w:before="240" w:after="160" w:line="276" w:lineRule="auto"/>
      </w:pPr>
      <w:r w:rsidRPr="004B6BC1">
        <w:t>Jain, P., et al. (2021). Chronic enteropathy-related malabsorption syndrome in an adult with common variable immunodeficiency and symptomatic norovirus infection of the gut. BMJ Case Reports 14(5): e241752.</w:t>
      </w:r>
    </w:p>
    <w:p w14:paraId="4560E246" w14:textId="77777777" w:rsidR="0037011B" w:rsidRPr="004B6BC1" w:rsidRDefault="0037011B" w:rsidP="0037011B">
      <w:pPr>
        <w:pStyle w:val="ListParagraph"/>
        <w:numPr>
          <w:ilvl w:val="0"/>
          <w:numId w:val="48"/>
        </w:numPr>
        <w:spacing w:before="240" w:after="160" w:line="276" w:lineRule="auto"/>
      </w:pPr>
      <w:proofErr w:type="spellStart"/>
      <w:r w:rsidRPr="004B6BC1">
        <w:t>Kempf</w:t>
      </w:r>
      <w:proofErr w:type="spellEnd"/>
      <w:r w:rsidRPr="004B6BC1">
        <w:t>, B., et al. (2017). Nitazoxanide is an ineffective treatment of chronic norovirus in patients with x-linked agammaglobulinemia and may yield false-negative polymerase chain reaction findings in stool specimens. Journal of Infectious Diseases 215(3): 486-487.</w:t>
      </w:r>
    </w:p>
    <w:p w14:paraId="30D564FB" w14:textId="77777777" w:rsidR="0037011B" w:rsidRPr="004B6BC1" w:rsidRDefault="0037011B" w:rsidP="0037011B">
      <w:pPr>
        <w:pStyle w:val="ListParagraph"/>
        <w:numPr>
          <w:ilvl w:val="0"/>
          <w:numId w:val="48"/>
        </w:numPr>
        <w:spacing w:before="240" w:after="160" w:line="276" w:lineRule="auto"/>
      </w:pPr>
      <w:r w:rsidRPr="004B6BC1">
        <w:t>Wingfield, T., et al. (2010). Chronic norovirus infection in an HIV-positive patient with persistent diarrhoea: A novel cause. Journal of Clinical Virology 49(3): 219-222.</w:t>
      </w:r>
    </w:p>
    <w:p w14:paraId="058FCAF4" w14:textId="77777777" w:rsidR="0037011B" w:rsidRPr="004B6BC1" w:rsidRDefault="0037011B" w:rsidP="0037011B">
      <w:pPr>
        <w:pStyle w:val="ListParagraph"/>
        <w:numPr>
          <w:ilvl w:val="0"/>
          <w:numId w:val="48"/>
        </w:numPr>
        <w:spacing w:before="240" w:after="160" w:line="276" w:lineRule="auto"/>
      </w:pPr>
      <w:r w:rsidRPr="004B6BC1">
        <w:t>Roddie, C., et al. (2009). Allogeneic hematopoietic stem cell transplantation and norovirus gastroenteritis: a previously unrecognized cause of morbidity. Clinical Infectious Diseases 49(7): 1061-1068.</w:t>
      </w:r>
    </w:p>
    <w:p w14:paraId="786996FA" w14:textId="77777777" w:rsidR="0037011B" w:rsidRPr="004B6BC1" w:rsidRDefault="0037011B" w:rsidP="0037011B">
      <w:pPr>
        <w:pStyle w:val="ListParagraph"/>
        <w:numPr>
          <w:ilvl w:val="0"/>
          <w:numId w:val="48"/>
        </w:numPr>
        <w:spacing w:before="240" w:after="160" w:line="276" w:lineRule="auto"/>
      </w:pPr>
      <w:proofErr w:type="spellStart"/>
      <w:r w:rsidRPr="004B6BC1">
        <w:t>Saif</w:t>
      </w:r>
      <w:proofErr w:type="spellEnd"/>
      <w:r w:rsidRPr="004B6BC1">
        <w:t xml:space="preserve">, M. A., et al. (2011). Chronic norovirus infection in </w:t>
      </w:r>
      <w:proofErr w:type="spellStart"/>
      <w:r w:rsidRPr="004B6BC1">
        <w:t>pediatric</w:t>
      </w:r>
      <w:proofErr w:type="spellEnd"/>
      <w:r w:rsidRPr="004B6BC1">
        <w:t xml:space="preserve"> hematopoietic stem cell transplant recipients: A cause of prolonged intestinal failure requiring intensive nutritional support. </w:t>
      </w:r>
      <w:proofErr w:type="spellStart"/>
      <w:r w:rsidRPr="004B6BC1">
        <w:t>Pediatric</w:t>
      </w:r>
      <w:proofErr w:type="spellEnd"/>
      <w:r w:rsidRPr="004B6BC1">
        <w:t xml:space="preserve"> Transplantation 15(5): 505-509.</w:t>
      </w:r>
    </w:p>
    <w:p w14:paraId="05D1F8B3" w14:textId="77777777" w:rsidR="0037011B" w:rsidRPr="004B6BC1" w:rsidRDefault="0037011B" w:rsidP="0037011B">
      <w:pPr>
        <w:pStyle w:val="ListParagraph"/>
        <w:numPr>
          <w:ilvl w:val="0"/>
          <w:numId w:val="48"/>
        </w:numPr>
        <w:spacing w:before="240" w:after="160" w:line="276" w:lineRule="auto"/>
      </w:pPr>
      <w:r w:rsidRPr="004B6BC1">
        <w:lastRenderedPageBreak/>
        <w:t>Woodward, J. M., et al. (2015). The role of chronic norovirus infection in the enteropathy associated with common variable immunodeficiency. American Journal of Gastroenterology 110(2): 320-327.</w:t>
      </w:r>
    </w:p>
    <w:p w14:paraId="633E9283" w14:textId="77777777" w:rsidR="0037011B" w:rsidRPr="004B6BC1" w:rsidRDefault="0037011B" w:rsidP="0037011B">
      <w:pPr>
        <w:pStyle w:val="ListParagraph"/>
        <w:numPr>
          <w:ilvl w:val="0"/>
          <w:numId w:val="48"/>
        </w:numPr>
        <w:spacing w:before="240" w:after="160" w:line="276" w:lineRule="auto"/>
      </w:pPr>
      <w:r w:rsidRPr="004B6BC1">
        <w:t>Jurgens, P. T., et al. (2017). Chronic norovirus infections in cardiac transplant patients: Considerations for evaluation and management. Progress in Transplantation 27(1): 69-72.</w:t>
      </w:r>
    </w:p>
    <w:p w14:paraId="7287A139" w14:textId="77777777" w:rsidR="0037011B" w:rsidRPr="004B6BC1" w:rsidRDefault="0037011B" w:rsidP="0037011B">
      <w:pPr>
        <w:pStyle w:val="ListParagraph"/>
        <w:numPr>
          <w:ilvl w:val="0"/>
          <w:numId w:val="48"/>
        </w:numPr>
        <w:spacing w:before="240" w:after="160" w:line="276" w:lineRule="auto"/>
      </w:pPr>
      <w:r w:rsidRPr="004B6BC1">
        <w:t xml:space="preserve">Knoll, B. M., et al. (2016). Resolution of </w:t>
      </w:r>
      <w:proofErr w:type="spellStart"/>
      <w:r w:rsidRPr="004B6BC1">
        <w:t>diarrhea</w:t>
      </w:r>
      <w:proofErr w:type="spellEnd"/>
      <w:r w:rsidRPr="004B6BC1">
        <w:t xml:space="preserve"> in an immunocompromised patient with chronic norovirus gastroenteritis correlates with constitution of specific antibody blockade </w:t>
      </w:r>
      <w:proofErr w:type="spellStart"/>
      <w:r w:rsidRPr="004B6BC1">
        <w:t>titer</w:t>
      </w:r>
      <w:proofErr w:type="spellEnd"/>
      <w:r w:rsidRPr="004B6BC1">
        <w:t>. Infection 44(4): 551-554.</w:t>
      </w:r>
    </w:p>
    <w:p w14:paraId="58410EA7" w14:textId="77777777" w:rsidR="0037011B" w:rsidRPr="004B6BC1" w:rsidRDefault="0037011B" w:rsidP="0037011B">
      <w:pPr>
        <w:pStyle w:val="ListParagraph"/>
        <w:numPr>
          <w:ilvl w:val="0"/>
          <w:numId w:val="48"/>
        </w:numPr>
        <w:spacing w:before="240" w:after="160" w:line="276" w:lineRule="auto"/>
      </w:pPr>
      <w:proofErr w:type="spellStart"/>
      <w:r w:rsidRPr="004B6BC1">
        <w:t>Chagla</w:t>
      </w:r>
      <w:proofErr w:type="spellEnd"/>
      <w:r w:rsidRPr="004B6BC1">
        <w:t>, Z., et al. (2013). Chronic norovirus infection in a transplant patient successfully treated with enterally administered immune globulin. Journal of Clinical Virology 58(1): 306-308.</w:t>
      </w:r>
    </w:p>
    <w:p w14:paraId="52DBFBC0" w14:textId="77777777" w:rsidR="0037011B" w:rsidRDefault="0037011B" w:rsidP="0037011B">
      <w:pPr>
        <w:pStyle w:val="ListParagraph"/>
        <w:numPr>
          <w:ilvl w:val="0"/>
          <w:numId w:val="48"/>
        </w:numPr>
        <w:spacing w:before="240" w:after="160" w:line="276" w:lineRule="auto"/>
      </w:pPr>
      <w:proofErr w:type="spellStart"/>
      <w:r w:rsidRPr="004B6BC1">
        <w:t>Ruis</w:t>
      </w:r>
      <w:proofErr w:type="spellEnd"/>
      <w:r w:rsidRPr="004B6BC1">
        <w:t>, C., et al. (2018). Mutagenesis in norovirus in response to favipiravir treatment. New England Journal of Medicine 379(22): 2173-2176.</w:t>
      </w:r>
    </w:p>
    <w:p w14:paraId="5C55E1D8" w14:textId="77777777" w:rsidR="0037011B" w:rsidRPr="004B6BC1" w:rsidRDefault="0037011B" w:rsidP="0037011B">
      <w:pPr>
        <w:pStyle w:val="ListParagraph"/>
        <w:numPr>
          <w:ilvl w:val="0"/>
          <w:numId w:val="48"/>
        </w:numPr>
        <w:spacing w:before="240" w:after="160" w:line="276" w:lineRule="auto"/>
      </w:pPr>
      <w:proofErr w:type="spellStart"/>
      <w:r w:rsidRPr="004B6BC1">
        <w:t>Florescu</w:t>
      </w:r>
      <w:proofErr w:type="spellEnd"/>
      <w:r w:rsidRPr="004B6BC1">
        <w:t xml:space="preserve">, D. F., et al. (2011). Is there a role for oral human immunoglobulin in the treatment for norovirus enteritis in immunocompromised patients? </w:t>
      </w:r>
      <w:proofErr w:type="spellStart"/>
      <w:r w:rsidRPr="004B6BC1">
        <w:t>Pediatric</w:t>
      </w:r>
      <w:proofErr w:type="spellEnd"/>
      <w:r w:rsidRPr="004B6BC1">
        <w:t xml:space="preserve"> Transplantation 15(7): 718-721.</w:t>
      </w:r>
    </w:p>
    <w:p w14:paraId="65C6074A" w14:textId="77777777" w:rsidR="0037011B" w:rsidRPr="004B6BC1" w:rsidRDefault="0037011B" w:rsidP="0037011B">
      <w:pPr>
        <w:pStyle w:val="ListParagraph"/>
        <w:numPr>
          <w:ilvl w:val="0"/>
          <w:numId w:val="48"/>
        </w:numPr>
        <w:spacing w:before="240" w:after="160" w:line="276" w:lineRule="auto"/>
      </w:pPr>
      <w:r w:rsidRPr="004B6BC1">
        <w:t>Aberg, F., et al. (2018). Severe allograft rejection in an intestinal transplant patient following oral immunoglobulin treatment for chronic norovirus infection: a case report. Clinical Case Reports 6(7): 1232-1235.</w:t>
      </w:r>
    </w:p>
    <w:p w14:paraId="79128A54" w14:textId="77777777" w:rsidR="0037011B" w:rsidRPr="004B6BC1" w:rsidRDefault="0037011B" w:rsidP="0037011B">
      <w:pPr>
        <w:pStyle w:val="ListParagraph"/>
        <w:numPr>
          <w:ilvl w:val="0"/>
          <w:numId w:val="48"/>
        </w:numPr>
        <w:spacing w:before="240" w:after="160" w:line="276" w:lineRule="auto"/>
      </w:pPr>
      <w:r w:rsidRPr="004B6BC1">
        <w:t xml:space="preserve">Alexander, E., et al. (2020). The Role of Oral Administration of Immunoglobulin in Managing Diarrheal Illness in Immunocompromised Children. </w:t>
      </w:r>
      <w:proofErr w:type="spellStart"/>
      <w:r w:rsidRPr="004B6BC1">
        <w:t>Pediatric</w:t>
      </w:r>
      <w:proofErr w:type="spellEnd"/>
      <w:r w:rsidRPr="004B6BC1">
        <w:t xml:space="preserve"> Drugs 22(3): 331-334.</w:t>
      </w:r>
    </w:p>
    <w:p w14:paraId="5751C0A9" w14:textId="77777777" w:rsidR="0037011B" w:rsidRPr="004B6BC1" w:rsidRDefault="0037011B" w:rsidP="0037011B">
      <w:pPr>
        <w:pStyle w:val="ListParagraph"/>
        <w:numPr>
          <w:ilvl w:val="0"/>
          <w:numId w:val="48"/>
        </w:numPr>
        <w:spacing w:before="240" w:after="160" w:line="276" w:lineRule="auto"/>
      </w:pPr>
      <w:proofErr w:type="spellStart"/>
      <w:r w:rsidRPr="004B6BC1">
        <w:t>Florescu</w:t>
      </w:r>
      <w:proofErr w:type="spellEnd"/>
      <w:r w:rsidRPr="004B6BC1">
        <w:t xml:space="preserve">, D. F., et al. (2008). Two cases of Norwalk virus enteritis following small bowel transplantation treated with oral human serum immunoglobulin. </w:t>
      </w:r>
      <w:proofErr w:type="spellStart"/>
      <w:r w:rsidRPr="004B6BC1">
        <w:t>Pediatric</w:t>
      </w:r>
      <w:proofErr w:type="spellEnd"/>
      <w:r w:rsidRPr="004B6BC1">
        <w:t xml:space="preserve"> Transplantation 12(3): 372-375.</w:t>
      </w:r>
    </w:p>
    <w:p w14:paraId="7658EEE1" w14:textId="77777777" w:rsidR="0037011B" w:rsidRPr="004B6BC1" w:rsidRDefault="0037011B" w:rsidP="0037011B">
      <w:pPr>
        <w:pStyle w:val="ListParagraph"/>
        <w:numPr>
          <w:ilvl w:val="0"/>
          <w:numId w:val="48"/>
        </w:numPr>
        <w:spacing w:before="240" w:after="160" w:line="276" w:lineRule="auto"/>
      </w:pPr>
      <w:proofErr w:type="spellStart"/>
      <w:r w:rsidRPr="004B6BC1">
        <w:t>Frange</w:t>
      </w:r>
      <w:proofErr w:type="spellEnd"/>
      <w:r w:rsidRPr="004B6BC1">
        <w:t xml:space="preserve">, P., et al. (2012). Prevalence and clinical impact of norovirus </w:t>
      </w:r>
      <w:proofErr w:type="spellStart"/>
      <w:r w:rsidRPr="004B6BC1">
        <w:t>fecal</w:t>
      </w:r>
      <w:proofErr w:type="spellEnd"/>
      <w:r w:rsidRPr="004B6BC1">
        <w:t xml:space="preserve"> shedding in children with inherited immune deficiencies. Journal of Infectious Diseases 206(8): 1269-1274.</w:t>
      </w:r>
    </w:p>
    <w:p w14:paraId="4CD125A0" w14:textId="77777777" w:rsidR="0037011B" w:rsidRPr="004B6BC1" w:rsidRDefault="0037011B" w:rsidP="0037011B">
      <w:pPr>
        <w:pStyle w:val="ListParagraph"/>
        <w:numPr>
          <w:ilvl w:val="0"/>
          <w:numId w:val="48"/>
        </w:numPr>
        <w:spacing w:before="240" w:after="160" w:line="276" w:lineRule="auto"/>
      </w:pPr>
      <w:proofErr w:type="spellStart"/>
      <w:r w:rsidRPr="004B6BC1">
        <w:t>Gairard</w:t>
      </w:r>
      <w:proofErr w:type="spellEnd"/>
      <w:r w:rsidRPr="004B6BC1">
        <w:t>-Dory, A. C., et al. (2014). Clinical usefulness of oral immunoglobulins in lung transplant recipients with norovirus gastroenteritis: A case series. Transplantation Proceedings 46(10): 3603-3605.</w:t>
      </w:r>
    </w:p>
    <w:p w14:paraId="0E9D3695" w14:textId="77777777" w:rsidR="0037011B" w:rsidRPr="004B6BC1" w:rsidRDefault="0037011B" w:rsidP="0037011B">
      <w:pPr>
        <w:pStyle w:val="ListParagraph"/>
        <w:numPr>
          <w:ilvl w:val="0"/>
          <w:numId w:val="48"/>
        </w:numPr>
        <w:spacing w:before="240" w:after="160" w:line="276" w:lineRule="auto"/>
      </w:pPr>
      <w:r w:rsidRPr="004B6BC1">
        <w:t xml:space="preserve">Gelfand, M. S. and K. O. Cleveland (2017). Oral Serum-Derived Bovine Immunoglobulin for Management of Infectious </w:t>
      </w:r>
      <w:proofErr w:type="spellStart"/>
      <w:r w:rsidRPr="004B6BC1">
        <w:t>Diarrhea</w:t>
      </w:r>
      <w:proofErr w:type="spellEnd"/>
      <w:r w:rsidRPr="004B6BC1">
        <w:t xml:space="preserve"> due to Norovirus and Cryptosporidiosis in Solid Organ Transplant Patients. Infectious Diseases in Clinical Practice 25(4): 218-220.</w:t>
      </w:r>
    </w:p>
    <w:p w14:paraId="4043A23C" w14:textId="77777777" w:rsidR="0037011B" w:rsidRPr="004B6BC1" w:rsidRDefault="0037011B" w:rsidP="0037011B">
      <w:pPr>
        <w:pStyle w:val="ListParagraph"/>
        <w:numPr>
          <w:ilvl w:val="0"/>
          <w:numId w:val="48"/>
        </w:numPr>
        <w:spacing w:before="240" w:after="160" w:line="276" w:lineRule="auto"/>
      </w:pPr>
      <w:r w:rsidRPr="004B6BC1">
        <w:t>Gras, J., et al. (2021). Clinical characteristics, risk factors and outcome of severe Norovirus infection in kidney transplant patients: a case-control study. BMC infectious diseases 21(1): 351.</w:t>
      </w:r>
    </w:p>
    <w:p w14:paraId="7DB3A2CC" w14:textId="77777777" w:rsidR="0037011B" w:rsidRPr="004B6BC1" w:rsidRDefault="0037011B" w:rsidP="0037011B">
      <w:pPr>
        <w:pStyle w:val="ListParagraph"/>
        <w:numPr>
          <w:ilvl w:val="0"/>
          <w:numId w:val="48"/>
        </w:numPr>
        <w:spacing w:before="240" w:after="160" w:line="276" w:lineRule="auto"/>
      </w:pPr>
      <w:r w:rsidRPr="004B6BC1">
        <w:lastRenderedPageBreak/>
        <w:t>Nussbaum, E. Z., et al. (2020). Orally Administered Human Immunoglobulin Therapy for Norovirus Enteritis in Solid Organ Transplant Recipients: A Case Series at a Single Academic Transplant Center. Clinical Infectious Diseases 71(8): E206-E209.</w:t>
      </w:r>
    </w:p>
    <w:p w14:paraId="6F79657E" w14:textId="77777777" w:rsidR="0037011B" w:rsidRDefault="0037011B" w:rsidP="0037011B">
      <w:pPr>
        <w:pStyle w:val="ListParagraph"/>
        <w:numPr>
          <w:ilvl w:val="0"/>
          <w:numId w:val="48"/>
        </w:numPr>
        <w:spacing w:before="240" w:after="160" w:line="276" w:lineRule="auto"/>
      </w:pPr>
      <w:proofErr w:type="spellStart"/>
      <w:r w:rsidRPr="004B6BC1">
        <w:t>Ronchetti</w:t>
      </w:r>
      <w:proofErr w:type="spellEnd"/>
      <w:r w:rsidRPr="004B6BC1">
        <w:t xml:space="preserve">, A. M., et al. (2014). Norovirus-related chronic </w:t>
      </w:r>
      <w:proofErr w:type="spellStart"/>
      <w:r w:rsidRPr="004B6BC1">
        <w:t>diarrhea</w:t>
      </w:r>
      <w:proofErr w:type="spellEnd"/>
      <w:r w:rsidRPr="004B6BC1">
        <w:t xml:space="preserve"> in a patient treated with alemtuzumab for chronic lymphocytic </w:t>
      </w:r>
      <w:proofErr w:type="spellStart"/>
      <w:r w:rsidRPr="004B6BC1">
        <w:t>leukemia</w:t>
      </w:r>
      <w:proofErr w:type="spellEnd"/>
      <w:r w:rsidRPr="004B6BC1">
        <w:t>. BMC Infectious Diseases 14(1): 239.</w:t>
      </w:r>
    </w:p>
    <w:p w14:paraId="1F377681" w14:textId="77777777" w:rsidR="0037011B" w:rsidRPr="004B6BC1" w:rsidRDefault="0037011B" w:rsidP="0037011B">
      <w:pPr>
        <w:pStyle w:val="ListParagraph"/>
        <w:numPr>
          <w:ilvl w:val="0"/>
          <w:numId w:val="48"/>
        </w:numPr>
        <w:spacing w:before="240" w:after="160" w:line="276" w:lineRule="auto"/>
      </w:pPr>
      <w:r w:rsidRPr="004B6BC1">
        <w:t xml:space="preserve">Parameswaran SA, Rao B S, </w:t>
      </w:r>
      <w:proofErr w:type="spellStart"/>
      <w:r w:rsidRPr="004B6BC1">
        <w:t>Balasubramaniam</w:t>
      </w:r>
      <w:proofErr w:type="spellEnd"/>
      <w:r w:rsidRPr="004B6BC1">
        <w:t xml:space="preserve"> S, Parameswaran A, </w:t>
      </w:r>
      <w:proofErr w:type="spellStart"/>
      <w:r w:rsidRPr="004B6BC1">
        <w:t>Tarigopula</w:t>
      </w:r>
      <w:proofErr w:type="spellEnd"/>
      <w:r w:rsidRPr="004B6BC1">
        <w:t xml:space="preserve"> A. Norovirus infection in renal transplant patients with chronic </w:t>
      </w:r>
      <w:proofErr w:type="spellStart"/>
      <w:r w:rsidRPr="004B6BC1">
        <w:t>diarrhea</w:t>
      </w:r>
      <w:proofErr w:type="spellEnd"/>
      <w:r w:rsidRPr="004B6BC1">
        <w:t xml:space="preserve">: A report of four cases and review of the literature. Gastroenterol Hepatol </w:t>
      </w:r>
      <w:proofErr w:type="spellStart"/>
      <w:r w:rsidRPr="004B6BC1">
        <w:t>Endosc</w:t>
      </w:r>
      <w:proofErr w:type="spellEnd"/>
      <w:r w:rsidRPr="004B6BC1">
        <w:t xml:space="preserve"> </w:t>
      </w:r>
      <w:proofErr w:type="spellStart"/>
      <w:r w:rsidRPr="004B6BC1">
        <w:t>Pract</w:t>
      </w:r>
      <w:proofErr w:type="spellEnd"/>
      <w:r w:rsidRPr="004B6BC1">
        <w:t xml:space="preserve"> 2021;1:28-33</w:t>
      </w:r>
    </w:p>
    <w:p w14:paraId="2DCA03B6" w14:textId="77777777" w:rsidR="0037011B" w:rsidRPr="004B6BC1" w:rsidRDefault="0037011B" w:rsidP="0037011B">
      <w:pPr>
        <w:pStyle w:val="ListParagraph"/>
        <w:numPr>
          <w:ilvl w:val="0"/>
          <w:numId w:val="48"/>
        </w:numPr>
        <w:spacing w:before="240" w:after="160" w:line="276" w:lineRule="auto"/>
      </w:pPr>
      <w:proofErr w:type="spellStart"/>
      <w:r w:rsidRPr="004B6BC1">
        <w:t>Ghusson</w:t>
      </w:r>
      <w:proofErr w:type="spellEnd"/>
      <w:r w:rsidRPr="004B6BC1">
        <w:t xml:space="preserve"> N, Vasquez G. Successfully Treated Norovirus- and </w:t>
      </w:r>
      <w:proofErr w:type="spellStart"/>
      <w:r w:rsidRPr="004B6BC1">
        <w:t>Sapovirus</w:t>
      </w:r>
      <w:proofErr w:type="spellEnd"/>
      <w:r w:rsidRPr="004B6BC1">
        <w:t xml:space="preserve">-Associated </w:t>
      </w:r>
      <w:proofErr w:type="spellStart"/>
      <w:r w:rsidRPr="004B6BC1">
        <w:t>Diarrhea</w:t>
      </w:r>
      <w:proofErr w:type="spellEnd"/>
      <w:r w:rsidRPr="004B6BC1">
        <w:t xml:space="preserve"> in Three Renal Transplant Patients. Case Rep Infect Dis. 2018;2018:6846873</w:t>
      </w:r>
    </w:p>
    <w:p w14:paraId="39FD3695" w14:textId="77777777" w:rsidR="0037011B" w:rsidRPr="004B6BC1" w:rsidRDefault="0037011B" w:rsidP="0037011B">
      <w:pPr>
        <w:pStyle w:val="ListParagraph"/>
        <w:numPr>
          <w:ilvl w:val="0"/>
          <w:numId w:val="48"/>
        </w:numPr>
        <w:spacing w:before="240" w:after="160" w:line="276" w:lineRule="auto"/>
      </w:pPr>
      <w:proofErr w:type="spellStart"/>
      <w:r w:rsidRPr="004B6BC1">
        <w:t>Lahtinen</w:t>
      </w:r>
      <w:proofErr w:type="spellEnd"/>
      <w:r w:rsidRPr="004B6BC1">
        <w:t>, P., et al. (2017). Faecal microbiota transplantation in patients with Clostridium difficile and significant comorbidities as well as in patients with new indications: A case series. World Journal of Gastroenterology 23(39): 7174-7184.</w:t>
      </w:r>
    </w:p>
    <w:p w14:paraId="4223C753" w14:textId="77777777" w:rsidR="0037011B" w:rsidRPr="004B6BC1" w:rsidRDefault="0037011B" w:rsidP="0037011B">
      <w:pPr>
        <w:pStyle w:val="ListParagraph"/>
        <w:numPr>
          <w:ilvl w:val="0"/>
          <w:numId w:val="48"/>
        </w:numPr>
        <w:spacing w:before="240" w:after="160" w:line="276" w:lineRule="auto"/>
      </w:pPr>
      <w:r w:rsidRPr="004B6BC1">
        <w:t>Siddiq, D. M., et al. (2011). Norovirus gastroenteritis successfully treated with nitazoxanide. Journal of Infection 63(5): 394-397.</w:t>
      </w:r>
    </w:p>
    <w:p w14:paraId="71A282C8" w14:textId="77777777" w:rsidR="0037011B" w:rsidRPr="004B6BC1" w:rsidRDefault="0037011B" w:rsidP="0037011B">
      <w:pPr>
        <w:pStyle w:val="ListParagraph"/>
        <w:numPr>
          <w:ilvl w:val="0"/>
          <w:numId w:val="48"/>
        </w:numPr>
        <w:spacing w:before="240" w:after="160" w:line="276" w:lineRule="auto"/>
      </w:pPr>
      <w:r w:rsidRPr="004B6BC1">
        <w:t>O'Connor, J. P. A., et al. (2009). Use of Infliximab as rescue therapy in acute severe Ulcerative Colitis with recent norovirus infection. Journal of Crohn's and Colitis 3(3): 204-206.</w:t>
      </w:r>
    </w:p>
    <w:p w14:paraId="02802560" w14:textId="77777777" w:rsidR="0037011B" w:rsidRPr="004B6BC1" w:rsidRDefault="0037011B" w:rsidP="0037011B">
      <w:pPr>
        <w:pStyle w:val="ListParagraph"/>
        <w:numPr>
          <w:ilvl w:val="0"/>
          <w:numId w:val="48"/>
        </w:numPr>
        <w:spacing w:before="240" w:after="160" w:line="276" w:lineRule="auto"/>
      </w:pPr>
      <w:proofErr w:type="spellStart"/>
      <w:r w:rsidRPr="004B6BC1">
        <w:t>Barberio</w:t>
      </w:r>
      <w:proofErr w:type="spellEnd"/>
      <w:r w:rsidRPr="004B6BC1">
        <w:t xml:space="preserve">, B., et al. (2020). </w:t>
      </w:r>
      <w:proofErr w:type="spellStart"/>
      <w:r w:rsidRPr="004B6BC1">
        <w:t>Fecal</w:t>
      </w:r>
      <w:proofErr w:type="spellEnd"/>
      <w:r w:rsidRPr="004B6BC1">
        <w:t xml:space="preserve"> microbiota transplantation for norovirus infection: a clinical and microbiological success. Therapeutic Advances in Gastroenterology 13.</w:t>
      </w:r>
    </w:p>
    <w:p w14:paraId="09268AF3" w14:textId="77777777" w:rsidR="0037011B" w:rsidRPr="004B6BC1" w:rsidRDefault="0037011B" w:rsidP="0037011B">
      <w:pPr>
        <w:pStyle w:val="ListParagraph"/>
        <w:numPr>
          <w:ilvl w:val="0"/>
          <w:numId w:val="48"/>
        </w:numPr>
        <w:spacing w:before="240" w:after="160" w:line="276" w:lineRule="auto"/>
      </w:pPr>
      <w:proofErr w:type="spellStart"/>
      <w:r w:rsidRPr="004B6BC1">
        <w:t>Engelen</w:t>
      </w:r>
      <w:proofErr w:type="spellEnd"/>
      <w:r w:rsidRPr="004B6BC1">
        <w:t xml:space="preserve">, M. A., et al. (2011). Elimination of norovirus in a chronic carrier under immunosuppression after heart transplantation--effect of </w:t>
      </w:r>
      <w:proofErr w:type="spellStart"/>
      <w:r w:rsidRPr="004B6BC1">
        <w:t>everolimus</w:t>
      </w:r>
      <w:proofErr w:type="spellEnd"/>
      <w:r w:rsidRPr="004B6BC1">
        <w:t>. Transplant international : official journal of the European Society for Organ Transplantation 24(11): e102-103.</w:t>
      </w:r>
    </w:p>
    <w:p w14:paraId="26AD532A" w14:textId="77777777" w:rsidR="0037011B" w:rsidRPr="004B6BC1" w:rsidRDefault="0037011B" w:rsidP="0037011B">
      <w:pPr>
        <w:pStyle w:val="ListParagraph"/>
        <w:numPr>
          <w:ilvl w:val="0"/>
          <w:numId w:val="48"/>
        </w:numPr>
        <w:spacing w:before="240" w:after="160" w:line="276" w:lineRule="auto"/>
      </w:pPr>
      <w:r w:rsidRPr="004B6BC1">
        <w:t xml:space="preserve">Kaufman SS, Chatterjee NK, </w:t>
      </w:r>
      <w:proofErr w:type="spellStart"/>
      <w:r w:rsidRPr="004B6BC1">
        <w:t>Fuschino</w:t>
      </w:r>
      <w:proofErr w:type="spellEnd"/>
      <w:r w:rsidRPr="004B6BC1">
        <w:t xml:space="preserve"> ME, et al. Calicivirus enteritis in an intestinal transplant recipient. Am J Transplant 2003; 3: 764.</w:t>
      </w:r>
    </w:p>
    <w:p w14:paraId="625C3648" w14:textId="77777777" w:rsidR="0037011B" w:rsidRDefault="0037011B" w:rsidP="0037011B">
      <w:pPr>
        <w:pStyle w:val="ListParagraph"/>
        <w:numPr>
          <w:ilvl w:val="0"/>
          <w:numId w:val="48"/>
        </w:numPr>
        <w:spacing w:before="240" w:after="160" w:line="276" w:lineRule="auto"/>
      </w:pPr>
      <w:r w:rsidRPr="004B6BC1">
        <w:t>Khayat, A. A. and G. W. Telega (2019). Persistent elevation of aminotransferases in liver transplant in association with chronic norovirus infection. Clinical and Molecular Hepatology 25(4): 408-411.</w:t>
      </w:r>
    </w:p>
    <w:p w14:paraId="069B566B" w14:textId="77777777" w:rsidR="0037011B" w:rsidRPr="004B6BC1" w:rsidRDefault="0037011B" w:rsidP="0037011B">
      <w:pPr>
        <w:pStyle w:val="ListParagraph"/>
        <w:numPr>
          <w:ilvl w:val="0"/>
          <w:numId w:val="48"/>
        </w:numPr>
        <w:spacing w:before="240" w:after="160" w:line="276" w:lineRule="auto"/>
      </w:pPr>
      <w:proofErr w:type="spellStart"/>
      <w:r w:rsidRPr="004B6BC1">
        <w:t>Westhoff</w:t>
      </w:r>
      <w:proofErr w:type="spellEnd"/>
      <w:r w:rsidRPr="004B6BC1">
        <w:t>, T. H., et al. (2009). Chronic norovirus infection in renal transplant recipients. Nephrology Dialysis Transplantation 24(3): 1051-1053.</w:t>
      </w:r>
    </w:p>
    <w:p w14:paraId="104EF208" w14:textId="77777777" w:rsidR="0037011B" w:rsidRDefault="0037011B" w:rsidP="0037011B">
      <w:pPr>
        <w:pStyle w:val="ListParagraph"/>
        <w:numPr>
          <w:ilvl w:val="0"/>
          <w:numId w:val="48"/>
        </w:numPr>
        <w:spacing w:before="240" w:after="160" w:line="276" w:lineRule="auto"/>
      </w:pPr>
      <w:r w:rsidRPr="004B6BC1">
        <w:t xml:space="preserve">Wright, S., et al. (2020). Recurring Norovirus &amp; </w:t>
      </w:r>
      <w:proofErr w:type="spellStart"/>
      <w:r w:rsidRPr="004B6BC1">
        <w:t>Sapovirus</w:t>
      </w:r>
      <w:proofErr w:type="spellEnd"/>
      <w:r w:rsidRPr="004B6BC1">
        <w:t xml:space="preserve"> Infection in a Renal Transplant Patient. </w:t>
      </w:r>
      <w:proofErr w:type="spellStart"/>
      <w:r w:rsidRPr="004B6BC1">
        <w:t>IDCases</w:t>
      </w:r>
      <w:proofErr w:type="spellEnd"/>
      <w:r w:rsidRPr="004B6BC1">
        <w:t xml:space="preserve"> 20: e00776.</w:t>
      </w:r>
    </w:p>
    <w:p w14:paraId="3FA7E85C" w14:textId="77777777" w:rsidR="0037011B" w:rsidRDefault="0037011B" w:rsidP="0037011B">
      <w:pPr>
        <w:pStyle w:val="ListParagraph"/>
        <w:numPr>
          <w:ilvl w:val="0"/>
          <w:numId w:val="48"/>
        </w:numPr>
        <w:spacing w:before="240" w:after="160" w:line="276" w:lineRule="auto"/>
      </w:pPr>
      <w:proofErr w:type="spellStart"/>
      <w:r w:rsidRPr="004B6BC1">
        <w:t>Boillat</w:t>
      </w:r>
      <w:proofErr w:type="spellEnd"/>
      <w:r w:rsidRPr="004B6BC1">
        <w:t xml:space="preserve"> Blanco, N., et al. (2011). Chronic norovirus gastroenteritis in a double hematopoietic stem cell and lung transplant recipient. Transplant Infectious Disease 13(2): 213-215.</w:t>
      </w:r>
    </w:p>
    <w:p w14:paraId="2789E7E4" w14:textId="77777777" w:rsidR="0037011B" w:rsidRDefault="0037011B" w:rsidP="0037011B">
      <w:pPr>
        <w:pStyle w:val="ListParagraph"/>
        <w:numPr>
          <w:ilvl w:val="0"/>
          <w:numId w:val="48"/>
        </w:numPr>
        <w:spacing w:before="240" w:after="160" w:line="276" w:lineRule="auto"/>
      </w:pPr>
      <w:r>
        <w:lastRenderedPageBreak/>
        <w:t>Mitchell, C., et al. (2016). Reducing the number and impact of outbreaks of nosocomial viral gastroenteritis: Time-series analysis of a multidimensional quality improvement initiative. BMJ Quality and Safety 25(6): 466-474.</w:t>
      </w:r>
    </w:p>
    <w:p w14:paraId="7091E0D4" w14:textId="77777777" w:rsidR="0037011B" w:rsidRDefault="0037011B" w:rsidP="0037011B">
      <w:pPr>
        <w:pStyle w:val="ListParagraph"/>
        <w:numPr>
          <w:ilvl w:val="0"/>
          <w:numId w:val="48"/>
        </w:numPr>
        <w:spacing w:before="240" w:after="160" w:line="276" w:lineRule="auto"/>
      </w:pPr>
      <w:r>
        <w:t>He, Y., et al. (2020). Surveillance of the bud event of norovirus-associated gastroenteritis in schools: Does it work in the prevention of norovirus infection outbreaks in Shanghai? Epidemiology and Infection.</w:t>
      </w:r>
    </w:p>
    <w:p w14:paraId="276B1E67" w14:textId="77777777" w:rsidR="0037011B" w:rsidRDefault="0037011B" w:rsidP="0037011B">
      <w:pPr>
        <w:pStyle w:val="ListParagraph"/>
        <w:numPr>
          <w:ilvl w:val="0"/>
          <w:numId w:val="48"/>
        </w:numPr>
        <w:spacing w:before="240" w:after="160" w:line="276" w:lineRule="auto"/>
      </w:pPr>
      <w:proofErr w:type="spellStart"/>
      <w:r>
        <w:t>Fouillet</w:t>
      </w:r>
      <w:proofErr w:type="spellEnd"/>
      <w:r>
        <w:t>, A., et al. (2020). Large concomitant outbreaks of acute gastroenteritis emergency visits in adults and food-borne events suspected to be linked to raw shellfish, France, December 2019 to January 2020. Eurosurveillance 25(7): 2000060</w:t>
      </w:r>
    </w:p>
    <w:p w14:paraId="537A12C9" w14:textId="77777777" w:rsidR="0037011B" w:rsidRDefault="0037011B" w:rsidP="0037011B">
      <w:pPr>
        <w:pStyle w:val="ListParagraph"/>
        <w:numPr>
          <w:ilvl w:val="0"/>
          <w:numId w:val="48"/>
        </w:numPr>
        <w:spacing w:before="240" w:after="160" w:line="276" w:lineRule="auto"/>
      </w:pPr>
      <w:proofErr w:type="spellStart"/>
      <w:r>
        <w:t>Jeong</w:t>
      </w:r>
      <w:proofErr w:type="spellEnd"/>
      <w:r>
        <w:t>, M. H., et al. (2021). Surveillance to prevent the spread of norovirus outbreak from asymptomatic food handlers during the PyeongChang 2018 Olympics. Journal of food protection 84(10): 1819-1823.</w:t>
      </w:r>
    </w:p>
    <w:p w14:paraId="0D2F79CC" w14:textId="77777777" w:rsidR="0037011B" w:rsidRDefault="0037011B" w:rsidP="0037011B">
      <w:pPr>
        <w:pStyle w:val="ListParagraph"/>
        <w:numPr>
          <w:ilvl w:val="0"/>
          <w:numId w:val="48"/>
        </w:numPr>
        <w:spacing w:before="240" w:after="160" w:line="276" w:lineRule="auto"/>
      </w:pPr>
      <w:r>
        <w:t>David, S. T., et al. (2007). An outbreak of norovirus caused by consumption of oysters from geographically dispersed harvest sites, British Columbia, Canada, 2004. Foodborne Pathogens and Disease 4(3): 349-358.</w:t>
      </w:r>
    </w:p>
    <w:p w14:paraId="7160333D" w14:textId="77777777" w:rsidR="0037011B" w:rsidRDefault="0037011B" w:rsidP="0037011B">
      <w:pPr>
        <w:pStyle w:val="ListParagraph"/>
        <w:numPr>
          <w:ilvl w:val="0"/>
          <w:numId w:val="48"/>
        </w:numPr>
        <w:spacing w:before="240" w:after="160" w:line="276" w:lineRule="auto"/>
      </w:pPr>
      <w:proofErr w:type="spellStart"/>
      <w:r>
        <w:t>Karmarkar</w:t>
      </w:r>
      <w:proofErr w:type="spellEnd"/>
      <w:r>
        <w:t>, E., et al. (2020). Outbreak of norovirus illness among wildfire evacuation shelter populations-Butte and Glenn Counties, California, November 2018. Morbidity and Mortality Weekly Report 69(20): 613-617.</w:t>
      </w:r>
    </w:p>
    <w:p w14:paraId="129AAAD7" w14:textId="77777777" w:rsidR="0037011B" w:rsidRDefault="0037011B" w:rsidP="0037011B">
      <w:pPr>
        <w:pStyle w:val="ListParagraph"/>
        <w:numPr>
          <w:ilvl w:val="0"/>
          <w:numId w:val="48"/>
        </w:numPr>
        <w:spacing w:before="240" w:after="160" w:line="276" w:lineRule="auto"/>
      </w:pPr>
      <w:proofErr w:type="spellStart"/>
      <w:r>
        <w:t>Xiaopeng</w:t>
      </w:r>
      <w:proofErr w:type="spellEnd"/>
      <w:r>
        <w:t xml:space="preserve">, S., et al. (2017). An outbreak of norovirus-associated acute gastroenteritis associated with contaminated barrelled water in many schools in Zhejiang, China. </w:t>
      </w:r>
      <w:proofErr w:type="spellStart"/>
      <w:r>
        <w:t>PLoS</w:t>
      </w:r>
      <w:proofErr w:type="spellEnd"/>
      <w:r>
        <w:t xml:space="preserve"> ONE 12(2).</w:t>
      </w:r>
    </w:p>
    <w:p w14:paraId="5298C15D" w14:textId="77777777" w:rsidR="0037011B" w:rsidRDefault="0037011B" w:rsidP="0037011B">
      <w:pPr>
        <w:pStyle w:val="ListParagraph"/>
        <w:numPr>
          <w:ilvl w:val="0"/>
          <w:numId w:val="48"/>
        </w:numPr>
        <w:spacing w:before="240" w:after="160" w:line="276" w:lineRule="auto"/>
      </w:pPr>
      <w:r>
        <w:t xml:space="preserve">Yee, E. L., et al. (2007). Widespread outbreak of norovirus gastroenteritis among evacuees of Hurricane Katrina residing in a large </w:t>
      </w:r>
      <w:proofErr w:type="spellStart"/>
      <w:r>
        <w:t>megashelter</w:t>
      </w:r>
      <w:proofErr w:type="spellEnd"/>
      <w:r>
        <w:t xml:space="preserve"> in Houston, Texas: Lessons learned for prevention. Clinical Infectious Diseases 44(8): 1032-1039.</w:t>
      </w:r>
    </w:p>
    <w:p w14:paraId="493EDCA9" w14:textId="77777777" w:rsidR="0037011B" w:rsidRPr="009A61ED" w:rsidRDefault="0037011B" w:rsidP="0037011B">
      <w:pPr>
        <w:pStyle w:val="ListParagraph"/>
        <w:numPr>
          <w:ilvl w:val="0"/>
          <w:numId w:val="48"/>
        </w:numPr>
        <w:spacing w:before="240" w:after="160" w:line="276" w:lineRule="auto"/>
      </w:pPr>
      <w:proofErr w:type="spellStart"/>
      <w:r>
        <w:t>Centers</w:t>
      </w:r>
      <w:proofErr w:type="spellEnd"/>
      <w:r>
        <w:t xml:space="preserve"> for Disease, C. and Prevention (2005). Norovirus outbreak among evacuees from hurricane Katrina--Houston, Texas, September 2005. MMWR. Morbidity and mortality weekly report 54(40): 1016-1018.</w:t>
      </w:r>
    </w:p>
    <w:p w14:paraId="70A07DB2" w14:textId="77777777" w:rsidR="00955FD4" w:rsidRPr="007E4031" w:rsidRDefault="00955FD4" w:rsidP="00CF7116">
      <w:pPr>
        <w:spacing w:before="240" w:line="276" w:lineRule="auto"/>
        <w:rPr>
          <w:rFonts w:cstheme="minorHAnsi"/>
        </w:rPr>
      </w:pPr>
      <w:r w:rsidRPr="007E4031">
        <w:rPr>
          <w:rFonts w:cstheme="minorHAnsi"/>
        </w:rPr>
        <w:br w:type="page"/>
      </w:r>
    </w:p>
    <w:p w14:paraId="20F1B5BE" w14:textId="1FABFEF7" w:rsidR="00955FD4" w:rsidRDefault="00955FD4" w:rsidP="00CF7116">
      <w:pPr>
        <w:pStyle w:val="Heading1"/>
        <w:spacing w:after="160" w:line="276" w:lineRule="auto"/>
      </w:pPr>
      <w:r w:rsidRPr="00955FD4">
        <w:lastRenderedPageBreak/>
        <w:t>List of abbreviations</w:t>
      </w:r>
    </w:p>
    <w:p w14:paraId="1B03DDBE" w14:textId="77777777" w:rsidR="00E2003E" w:rsidRDefault="00E2003E" w:rsidP="00E2003E">
      <w:r>
        <w:t>A&amp;E – accident and emergency</w:t>
      </w:r>
    </w:p>
    <w:p w14:paraId="7E5E7FE9" w14:textId="77777777" w:rsidR="00E2003E" w:rsidRDefault="00E2003E" w:rsidP="00E2003E">
      <w:r>
        <w:t>AHR – alcohol hand rub</w:t>
      </w:r>
    </w:p>
    <w:p w14:paraId="0A5E0F33" w14:textId="6D1E32B1" w:rsidR="00E2003E" w:rsidRDefault="00E2003E" w:rsidP="00E2003E">
      <w:r>
        <w:t xml:space="preserve">ATP – adenosine triphosphate </w:t>
      </w:r>
    </w:p>
    <w:p w14:paraId="3A8B95C1" w14:textId="7B16B631" w:rsidR="00E2003E" w:rsidRDefault="00E2003E" w:rsidP="00E2003E">
      <w:r>
        <w:t>BAC – benzalkonium chloride</w:t>
      </w:r>
    </w:p>
    <w:p w14:paraId="5579CD40" w14:textId="77777777" w:rsidR="00E2003E" w:rsidRDefault="00E2003E" w:rsidP="00E2003E">
      <w:r>
        <w:t>BIA – British Infection Association</w:t>
      </w:r>
    </w:p>
    <w:p w14:paraId="3CC3F328" w14:textId="77777777" w:rsidR="00E2003E" w:rsidRDefault="00E2003E" w:rsidP="00E2003E">
      <w:r>
        <w:t xml:space="preserve">BSS – </w:t>
      </w:r>
      <w:r w:rsidRPr="00D85428">
        <w:t>bismuth subsalicylate</w:t>
      </w:r>
    </w:p>
    <w:p w14:paraId="44541661" w14:textId="77777777" w:rsidR="00E2003E" w:rsidRDefault="00E2003E" w:rsidP="00E2003E">
      <w:r>
        <w:t xml:space="preserve">CBA – controlled before/after </w:t>
      </w:r>
    </w:p>
    <w:p w14:paraId="68EB60B3" w14:textId="77777777" w:rsidR="00E2003E" w:rsidRDefault="00E2003E" w:rsidP="00E2003E">
      <w:r>
        <w:t xml:space="preserve">CDC – </w:t>
      </w:r>
      <w:proofErr w:type="spellStart"/>
      <w:r>
        <w:t>Centers</w:t>
      </w:r>
      <w:proofErr w:type="spellEnd"/>
      <w:r>
        <w:t xml:space="preserve"> for Disease Control</w:t>
      </w:r>
    </w:p>
    <w:p w14:paraId="28E9AE96" w14:textId="77777777" w:rsidR="00E2003E" w:rsidRDefault="00E2003E" w:rsidP="00E2003E">
      <w:r>
        <w:t>CHG – chlorhexidine gluconate</w:t>
      </w:r>
    </w:p>
    <w:p w14:paraId="27DB7820" w14:textId="77777777" w:rsidR="00E2003E" w:rsidRDefault="00E2003E" w:rsidP="00E2003E">
      <w:r>
        <w:t>CI – confidence interval</w:t>
      </w:r>
    </w:p>
    <w:p w14:paraId="299C2FFB" w14:textId="77777777" w:rsidR="00E2003E" w:rsidRDefault="00E2003E" w:rsidP="00E2003E">
      <w:r>
        <w:t xml:space="preserve">CQC – Care Quality Commission </w:t>
      </w:r>
    </w:p>
    <w:p w14:paraId="67E9672E" w14:textId="77777777" w:rsidR="00E2003E" w:rsidRDefault="00E2003E" w:rsidP="00E2003E">
      <w:r>
        <w:t>Ct – Cycle threshold</w:t>
      </w:r>
    </w:p>
    <w:p w14:paraId="002835FE" w14:textId="3D6F8DE6" w:rsidR="00E2003E" w:rsidRDefault="00E2003E" w:rsidP="00E2003E">
      <w:r>
        <w:t>CPD – Continuing Professional Development</w:t>
      </w:r>
    </w:p>
    <w:p w14:paraId="21AC026E" w14:textId="77777777" w:rsidR="00E2003E" w:rsidRDefault="00E2003E" w:rsidP="00E2003E">
      <w:r>
        <w:t>DAS – diagnostic accuracy study</w:t>
      </w:r>
    </w:p>
    <w:p w14:paraId="5EE5EF6E" w14:textId="77777777" w:rsidR="00E2003E" w:rsidRDefault="00E2003E" w:rsidP="00E2003E">
      <w:r>
        <w:t xml:space="preserve">ECO – </w:t>
      </w:r>
      <w:r w:rsidRPr="000E7A66">
        <w:t>electrochemically activated</w:t>
      </w:r>
      <w:r>
        <w:t xml:space="preserve"> water</w:t>
      </w:r>
    </w:p>
    <w:p w14:paraId="361F4367" w14:textId="77777777" w:rsidR="00E2003E" w:rsidRDefault="00E2003E" w:rsidP="00E2003E">
      <w:r>
        <w:t>EIA – enzyme immunoassay</w:t>
      </w:r>
    </w:p>
    <w:p w14:paraId="6869843B" w14:textId="77777777" w:rsidR="00E2003E" w:rsidRDefault="00E2003E" w:rsidP="00E2003E">
      <w:r>
        <w:t>EPA – Environmental Protection Agency</w:t>
      </w:r>
    </w:p>
    <w:p w14:paraId="3302C604" w14:textId="617721F0" w:rsidR="00E2003E" w:rsidRDefault="00E2003E" w:rsidP="00E2003E">
      <w:r>
        <w:t>ETA – ethanol or ethyl alcohol</w:t>
      </w:r>
    </w:p>
    <w:p w14:paraId="0C736797" w14:textId="77777777" w:rsidR="00E2003E" w:rsidRDefault="00E2003E" w:rsidP="00E2003E">
      <w:r>
        <w:t>FCV – Feline Calicivirus</w:t>
      </w:r>
    </w:p>
    <w:p w14:paraId="4259C10E" w14:textId="4C5B03CB" w:rsidR="00E2003E" w:rsidRDefault="00E2003E" w:rsidP="00E2003E">
      <w:r>
        <w:t>FSA – Food Standards Agency</w:t>
      </w:r>
    </w:p>
    <w:p w14:paraId="08500E94" w14:textId="77777777" w:rsidR="00E2003E" w:rsidRDefault="00E2003E" w:rsidP="00E2003E">
      <w:r>
        <w:t xml:space="preserve">GRADE – </w:t>
      </w:r>
      <w:r w:rsidRPr="000E7A66">
        <w:t>Grading of Recommendations Assessment, Development and Evaluation</w:t>
      </w:r>
    </w:p>
    <w:p w14:paraId="3A5294ED" w14:textId="77777777" w:rsidR="00E2003E" w:rsidRDefault="00E2003E" w:rsidP="00E2003E">
      <w:r>
        <w:t>HIS – Healthcare Infection Society</w:t>
      </w:r>
    </w:p>
    <w:p w14:paraId="0D280F96" w14:textId="77777777" w:rsidR="00E2003E" w:rsidRDefault="00E2003E" w:rsidP="00E2003E">
      <w:r>
        <w:t>HNV – Human Norovirus</w:t>
      </w:r>
    </w:p>
    <w:p w14:paraId="54EA9C8C" w14:textId="77777777" w:rsidR="00E2003E" w:rsidRDefault="00E2003E" w:rsidP="00E2003E">
      <w:r>
        <w:t>HPV – hydrogen peroxide vapour</w:t>
      </w:r>
    </w:p>
    <w:p w14:paraId="47848365" w14:textId="6B8EB8B7" w:rsidR="00E2003E" w:rsidRDefault="00E2003E" w:rsidP="00E2003E">
      <w:r>
        <w:t xml:space="preserve">HSCT – </w:t>
      </w:r>
      <w:r w:rsidRPr="000E7A66">
        <w:t>h</w:t>
      </w:r>
      <w:r>
        <w:t>a</w:t>
      </w:r>
      <w:r w:rsidRPr="000E7A66">
        <w:t>ematopoietic stem cell transplant</w:t>
      </w:r>
    </w:p>
    <w:p w14:paraId="41B1A00B" w14:textId="77777777" w:rsidR="00E2003E" w:rsidRDefault="00E2003E" w:rsidP="00E2003E">
      <w:r>
        <w:t>ICA – immunochromatography assay</w:t>
      </w:r>
    </w:p>
    <w:p w14:paraId="5655A47B" w14:textId="4C59A17C" w:rsidR="00E2003E" w:rsidRDefault="00E2003E" w:rsidP="00E2003E">
      <w:r>
        <w:t>IPA – isopropanol or  isopropyl alcohol</w:t>
      </w:r>
    </w:p>
    <w:p w14:paraId="2E93DE66" w14:textId="77777777" w:rsidR="00E2003E" w:rsidRDefault="00E2003E" w:rsidP="00E2003E">
      <w:r>
        <w:t>IPC – infection prevention and control</w:t>
      </w:r>
    </w:p>
    <w:p w14:paraId="79C7AF1D" w14:textId="77777777" w:rsidR="00E2003E" w:rsidRDefault="00E2003E" w:rsidP="00E2003E">
      <w:r>
        <w:t>IPS – Infection Prevention Society</w:t>
      </w:r>
    </w:p>
    <w:p w14:paraId="7C95F759" w14:textId="77777777" w:rsidR="00E2003E" w:rsidRDefault="00E2003E" w:rsidP="00E2003E">
      <w:r>
        <w:t>IQR – interquartile range</w:t>
      </w:r>
    </w:p>
    <w:p w14:paraId="203F0F70" w14:textId="77777777" w:rsidR="00E2003E" w:rsidRDefault="00E2003E" w:rsidP="00E2003E">
      <w:r>
        <w:lastRenderedPageBreak/>
        <w:t>IRR – incidence rate ratio</w:t>
      </w:r>
    </w:p>
    <w:p w14:paraId="2E400A24" w14:textId="77777777" w:rsidR="00E2003E" w:rsidRDefault="00E2003E" w:rsidP="00E2003E">
      <w:r>
        <w:t>ITS – interrupted time series</w:t>
      </w:r>
    </w:p>
    <w:p w14:paraId="69D1C15F" w14:textId="77777777" w:rsidR="00E2003E" w:rsidRDefault="00E2003E" w:rsidP="00E2003E">
      <w:r>
        <w:t xml:space="preserve">IV – intravascular </w:t>
      </w:r>
    </w:p>
    <w:p w14:paraId="2EF43F7E" w14:textId="77777777" w:rsidR="00E2003E" w:rsidRDefault="00E2003E" w:rsidP="00E2003E">
      <w:r>
        <w:t xml:space="preserve">LEV – </w:t>
      </w:r>
      <w:proofErr w:type="spellStart"/>
      <w:r w:rsidRPr="000E7A66">
        <w:t>levulinic</w:t>
      </w:r>
      <w:proofErr w:type="spellEnd"/>
      <w:r w:rsidRPr="000E7A66">
        <w:t xml:space="preserve"> acid</w:t>
      </w:r>
    </w:p>
    <w:p w14:paraId="6B34806A" w14:textId="77777777" w:rsidR="00E2003E" w:rsidRDefault="00E2003E" w:rsidP="00E2003E">
      <w:r>
        <w:t>LTCF – long term care facility</w:t>
      </w:r>
    </w:p>
    <w:p w14:paraId="582F52D3" w14:textId="77777777" w:rsidR="00E2003E" w:rsidRDefault="00E2003E" w:rsidP="00E2003E">
      <w:r>
        <w:t>MNV – murine norovirus</w:t>
      </w:r>
    </w:p>
    <w:p w14:paraId="2A894D48" w14:textId="77777777" w:rsidR="00E2003E" w:rsidRDefault="00E2003E" w:rsidP="00E2003E">
      <w:r>
        <w:t>NAAT – nucleic acid amplification tests</w:t>
      </w:r>
    </w:p>
    <w:p w14:paraId="70669AD2" w14:textId="77777777" w:rsidR="00E2003E" w:rsidRDefault="00E2003E" w:rsidP="00E2003E">
      <w:r>
        <w:t>NaCl – sodium hypochlorite</w:t>
      </w:r>
    </w:p>
    <w:p w14:paraId="2B4E5810" w14:textId="77E34AC6" w:rsidR="00E2003E" w:rsidRDefault="00E2003E" w:rsidP="00E2003E">
      <w:r>
        <w:t>NHS – National Health Service</w:t>
      </w:r>
    </w:p>
    <w:p w14:paraId="77951555" w14:textId="77777777" w:rsidR="00E2003E" w:rsidRDefault="00E2003E" w:rsidP="00E2003E">
      <w:r>
        <w:t xml:space="preserve">NICE – </w:t>
      </w:r>
      <w:r w:rsidRPr="000E7A66">
        <w:t>National Institute for Health and Care Excellence</w:t>
      </w:r>
    </w:p>
    <w:p w14:paraId="2D604E93" w14:textId="77777777" w:rsidR="00E2003E" w:rsidRDefault="00E2003E" w:rsidP="00E2003E">
      <w:r>
        <w:t>NLV – Norwalk Like Virus</w:t>
      </w:r>
    </w:p>
    <w:p w14:paraId="62B31812" w14:textId="6BEF5F20" w:rsidR="00E2003E" w:rsidRDefault="00E2003E" w:rsidP="00E2003E">
      <w:proofErr w:type="spellStart"/>
      <w:r>
        <w:t>nRCT</w:t>
      </w:r>
      <w:proofErr w:type="spellEnd"/>
      <w:r>
        <w:t xml:space="preserve"> – non-randomised controlled trial</w:t>
      </w:r>
    </w:p>
    <w:p w14:paraId="0BAF4D00" w14:textId="77777777" w:rsidR="00E2003E" w:rsidRDefault="00E2003E" w:rsidP="00E2003E">
      <w:r>
        <w:t>OR – odds ratio</w:t>
      </w:r>
    </w:p>
    <w:p w14:paraId="5F29A009" w14:textId="77777777" w:rsidR="00E2003E" w:rsidRDefault="00E2003E" w:rsidP="00E2003E">
      <w:r>
        <w:t>PCR – polymerase chain reaction</w:t>
      </w:r>
    </w:p>
    <w:p w14:paraId="5AED6B75" w14:textId="77777777" w:rsidR="00E2003E" w:rsidRDefault="00E2003E" w:rsidP="00E2003E">
      <w:proofErr w:type="spellStart"/>
      <w:r>
        <w:t>pcr</w:t>
      </w:r>
      <w:proofErr w:type="spellEnd"/>
      <w:r>
        <w:t>-u - RT-QPCR-detectable virus unit</w:t>
      </w:r>
    </w:p>
    <w:p w14:paraId="614060D0" w14:textId="77777777" w:rsidR="00E2003E" w:rsidRDefault="00E2003E" w:rsidP="00E2003E">
      <w:r>
        <w:t>PDSA – Plan-Do-Study-Act</w:t>
      </w:r>
    </w:p>
    <w:p w14:paraId="7DCEE852" w14:textId="77777777" w:rsidR="00E2003E" w:rsidRDefault="00E2003E" w:rsidP="00E2003E">
      <w:r>
        <w:t>PICO – Population-Intervention-Comparison-Outcome</w:t>
      </w:r>
    </w:p>
    <w:p w14:paraId="05B38D0D" w14:textId="6CE02792" w:rsidR="00E2003E" w:rsidRDefault="00E2003E" w:rsidP="00E2003E">
      <w:r>
        <w:t>POCT – point of care testing</w:t>
      </w:r>
    </w:p>
    <w:p w14:paraId="5436D78E" w14:textId="77777777" w:rsidR="00E2003E" w:rsidRDefault="00E2003E" w:rsidP="00E2003E">
      <w:r>
        <w:t>PPE – personal protective equipment</w:t>
      </w:r>
    </w:p>
    <w:p w14:paraId="56F84664" w14:textId="77777777" w:rsidR="00E2003E" w:rsidRDefault="00E2003E" w:rsidP="00E2003E">
      <w:r>
        <w:t>ppm – parts per million</w:t>
      </w:r>
    </w:p>
    <w:p w14:paraId="0DB14213" w14:textId="77777777" w:rsidR="00E2003E" w:rsidRDefault="00E2003E" w:rsidP="00E2003E">
      <w:r>
        <w:t>PVP – povidone-iodine</w:t>
      </w:r>
    </w:p>
    <w:p w14:paraId="64407AEA" w14:textId="77777777" w:rsidR="00E2003E" w:rsidRDefault="00E2003E" w:rsidP="00E2003E">
      <w:r>
        <w:t>QAC – quaternary ammonium compounds</w:t>
      </w:r>
    </w:p>
    <w:p w14:paraId="18B83CB3" w14:textId="77777777" w:rsidR="00E2003E" w:rsidRDefault="00E2003E" w:rsidP="00E2003E">
      <w:r>
        <w:t>RCT – randomised controlled trial</w:t>
      </w:r>
    </w:p>
    <w:p w14:paraId="6EFD62C3" w14:textId="77777777" w:rsidR="00E2003E" w:rsidRDefault="00E2003E" w:rsidP="00E2003E">
      <w:r>
        <w:t>RR – risk ratio</w:t>
      </w:r>
    </w:p>
    <w:p w14:paraId="09C2B47A" w14:textId="77777777" w:rsidR="00E2003E" w:rsidRDefault="00E2003E" w:rsidP="00E2003E">
      <w:r>
        <w:t>SDS – silver dihydrogen citrate</w:t>
      </w:r>
    </w:p>
    <w:p w14:paraId="0D925383" w14:textId="77777777" w:rsidR="00E2003E" w:rsidRDefault="00E2003E" w:rsidP="00E2003E">
      <w:r>
        <w:t>SEM – scanning electron microscope</w:t>
      </w:r>
    </w:p>
    <w:p w14:paraId="5E9389FA" w14:textId="77777777" w:rsidR="00E2003E" w:rsidRDefault="00E2003E" w:rsidP="00E2003E">
      <w:r>
        <w:t>UBA – uncontrolled before/after</w:t>
      </w:r>
    </w:p>
    <w:p w14:paraId="5D211954" w14:textId="77777777" w:rsidR="00E2003E" w:rsidRDefault="00E2003E" w:rsidP="00E2003E">
      <w:r>
        <w:t>UK – United Kingdom</w:t>
      </w:r>
    </w:p>
    <w:p w14:paraId="59D59FBA" w14:textId="77777777" w:rsidR="00E2003E" w:rsidRDefault="00E2003E" w:rsidP="00E2003E">
      <w:r>
        <w:t>UV - ultraviolet</w:t>
      </w:r>
    </w:p>
    <w:p w14:paraId="735D9834" w14:textId="77777777" w:rsidR="00E2003E" w:rsidRDefault="00E2003E" w:rsidP="00E2003E">
      <w:r>
        <w:t>UVC – ultraviolet C light</w:t>
      </w:r>
    </w:p>
    <w:p w14:paraId="68A509D6" w14:textId="77777777" w:rsidR="00E2003E" w:rsidRDefault="00E2003E" w:rsidP="00E2003E">
      <w:r>
        <w:t>WHO – World Health Organization</w:t>
      </w:r>
    </w:p>
    <w:p w14:paraId="2A7D0740" w14:textId="77777777" w:rsidR="00072CCF" w:rsidRDefault="00072CCF" w:rsidP="00CF7116">
      <w:pPr>
        <w:spacing w:before="240" w:line="276" w:lineRule="auto"/>
      </w:pPr>
    </w:p>
    <w:p w14:paraId="6029E39C" w14:textId="603AD1C0" w:rsidR="00FD26BD" w:rsidRPr="007E63B3" w:rsidRDefault="00FD26BD" w:rsidP="00CF7116">
      <w:pPr>
        <w:spacing w:before="240" w:line="276" w:lineRule="auto"/>
        <w:rPr>
          <w:rFonts w:asciiTheme="majorHAnsi" w:eastAsiaTheme="majorEastAsia" w:hAnsiTheme="majorHAnsi" w:cstheme="majorBidi"/>
          <w:color w:val="365F91" w:themeColor="accent1" w:themeShade="BF"/>
          <w:sz w:val="32"/>
          <w:szCs w:val="32"/>
        </w:rPr>
      </w:pPr>
    </w:p>
    <w:sectPr w:rsidR="00FD26BD" w:rsidRPr="007E63B3" w:rsidSect="008502A4">
      <w:headerReference w:type="default" r:id="rId16"/>
      <w:footerReference w:type="even"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081F" w14:textId="77777777" w:rsidR="00906A2C" w:rsidRDefault="00906A2C" w:rsidP="002B02C0">
      <w:pPr>
        <w:spacing w:after="0" w:line="240" w:lineRule="auto"/>
      </w:pPr>
      <w:r>
        <w:separator/>
      </w:r>
    </w:p>
  </w:endnote>
  <w:endnote w:type="continuationSeparator" w:id="0">
    <w:p w14:paraId="187DCB0B" w14:textId="77777777" w:rsidR="00906A2C" w:rsidRDefault="00906A2C" w:rsidP="002B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NeueLT Pro 45 L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AA04" w14:textId="77777777" w:rsidR="0025737F" w:rsidRDefault="0025737F" w:rsidP="006F75E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574314" w14:textId="77777777" w:rsidR="0025737F" w:rsidRDefault="00257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DFA4" w14:textId="77777777" w:rsidR="0025737F" w:rsidRDefault="0025737F" w:rsidP="006F75E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7E7B">
      <w:rPr>
        <w:rStyle w:val="PageNumber"/>
        <w:noProof/>
      </w:rPr>
      <w:t>29</w:t>
    </w:r>
    <w:r>
      <w:rPr>
        <w:rStyle w:val="PageNumber"/>
      </w:rPr>
      <w:fldChar w:fldCharType="end"/>
    </w:r>
  </w:p>
  <w:p w14:paraId="3D2E8360" w14:textId="77777777" w:rsidR="0025737F" w:rsidRDefault="00257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375C" w14:textId="77777777" w:rsidR="00906A2C" w:rsidRDefault="00906A2C" w:rsidP="002B02C0">
      <w:pPr>
        <w:spacing w:after="0" w:line="240" w:lineRule="auto"/>
      </w:pPr>
      <w:r>
        <w:separator/>
      </w:r>
    </w:p>
  </w:footnote>
  <w:footnote w:type="continuationSeparator" w:id="0">
    <w:p w14:paraId="71BEF8A0" w14:textId="77777777" w:rsidR="00906A2C" w:rsidRDefault="00906A2C" w:rsidP="002B0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1A19" w14:textId="487C07DE" w:rsidR="0025737F" w:rsidRDefault="00977AD3">
    <w:pPr>
      <w:pStyle w:val="Header"/>
    </w:pPr>
    <w:r>
      <w:t>Norovirus guidelines</w:t>
    </w:r>
    <w:r w:rsidR="0025737F">
      <w:t>: main document.</w:t>
    </w:r>
  </w:p>
  <w:p w14:paraId="2FFC2EAA" w14:textId="77777777" w:rsidR="0025737F" w:rsidRDefault="0025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EDC"/>
    <w:multiLevelType w:val="hybridMultilevel"/>
    <w:tmpl w:val="3F8C57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0B2D01"/>
    <w:multiLevelType w:val="hybridMultilevel"/>
    <w:tmpl w:val="6DC6A1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C540B"/>
    <w:multiLevelType w:val="hybridMultilevel"/>
    <w:tmpl w:val="BE74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A4470"/>
    <w:multiLevelType w:val="hybridMultilevel"/>
    <w:tmpl w:val="6AEECC0C"/>
    <w:lvl w:ilvl="0" w:tplc="5BB6D5B8">
      <w:start w:val="1"/>
      <w:numFmt w:val="bullet"/>
      <w:lvlText w:val="•"/>
      <w:lvlJc w:val="left"/>
      <w:pPr>
        <w:tabs>
          <w:tab w:val="num" w:pos="720"/>
        </w:tabs>
        <w:ind w:left="720" w:hanging="360"/>
      </w:pPr>
      <w:rPr>
        <w:rFonts w:ascii="Arial" w:hAnsi="Arial" w:hint="default"/>
      </w:rPr>
    </w:lvl>
    <w:lvl w:ilvl="1" w:tplc="9416937A" w:tentative="1">
      <w:start w:val="1"/>
      <w:numFmt w:val="bullet"/>
      <w:lvlText w:val="•"/>
      <w:lvlJc w:val="left"/>
      <w:pPr>
        <w:tabs>
          <w:tab w:val="num" w:pos="1440"/>
        </w:tabs>
        <w:ind w:left="1440" w:hanging="360"/>
      </w:pPr>
      <w:rPr>
        <w:rFonts w:ascii="Arial" w:hAnsi="Arial" w:hint="default"/>
      </w:rPr>
    </w:lvl>
    <w:lvl w:ilvl="2" w:tplc="587E395A" w:tentative="1">
      <w:start w:val="1"/>
      <w:numFmt w:val="bullet"/>
      <w:lvlText w:val="•"/>
      <w:lvlJc w:val="left"/>
      <w:pPr>
        <w:tabs>
          <w:tab w:val="num" w:pos="2160"/>
        </w:tabs>
        <w:ind w:left="2160" w:hanging="360"/>
      </w:pPr>
      <w:rPr>
        <w:rFonts w:ascii="Arial" w:hAnsi="Arial" w:hint="default"/>
      </w:rPr>
    </w:lvl>
    <w:lvl w:ilvl="3" w:tplc="97566634" w:tentative="1">
      <w:start w:val="1"/>
      <w:numFmt w:val="bullet"/>
      <w:lvlText w:val="•"/>
      <w:lvlJc w:val="left"/>
      <w:pPr>
        <w:tabs>
          <w:tab w:val="num" w:pos="2880"/>
        </w:tabs>
        <w:ind w:left="2880" w:hanging="360"/>
      </w:pPr>
      <w:rPr>
        <w:rFonts w:ascii="Arial" w:hAnsi="Arial" w:hint="default"/>
      </w:rPr>
    </w:lvl>
    <w:lvl w:ilvl="4" w:tplc="6E8098A0" w:tentative="1">
      <w:start w:val="1"/>
      <w:numFmt w:val="bullet"/>
      <w:lvlText w:val="•"/>
      <w:lvlJc w:val="left"/>
      <w:pPr>
        <w:tabs>
          <w:tab w:val="num" w:pos="3600"/>
        </w:tabs>
        <w:ind w:left="3600" w:hanging="360"/>
      </w:pPr>
      <w:rPr>
        <w:rFonts w:ascii="Arial" w:hAnsi="Arial" w:hint="default"/>
      </w:rPr>
    </w:lvl>
    <w:lvl w:ilvl="5" w:tplc="DF1E059A" w:tentative="1">
      <w:start w:val="1"/>
      <w:numFmt w:val="bullet"/>
      <w:lvlText w:val="•"/>
      <w:lvlJc w:val="left"/>
      <w:pPr>
        <w:tabs>
          <w:tab w:val="num" w:pos="4320"/>
        </w:tabs>
        <w:ind w:left="4320" w:hanging="360"/>
      </w:pPr>
      <w:rPr>
        <w:rFonts w:ascii="Arial" w:hAnsi="Arial" w:hint="default"/>
      </w:rPr>
    </w:lvl>
    <w:lvl w:ilvl="6" w:tplc="1E88B4FC" w:tentative="1">
      <w:start w:val="1"/>
      <w:numFmt w:val="bullet"/>
      <w:lvlText w:val="•"/>
      <w:lvlJc w:val="left"/>
      <w:pPr>
        <w:tabs>
          <w:tab w:val="num" w:pos="5040"/>
        </w:tabs>
        <w:ind w:left="5040" w:hanging="360"/>
      </w:pPr>
      <w:rPr>
        <w:rFonts w:ascii="Arial" w:hAnsi="Arial" w:hint="default"/>
      </w:rPr>
    </w:lvl>
    <w:lvl w:ilvl="7" w:tplc="D6285834" w:tentative="1">
      <w:start w:val="1"/>
      <w:numFmt w:val="bullet"/>
      <w:lvlText w:val="•"/>
      <w:lvlJc w:val="left"/>
      <w:pPr>
        <w:tabs>
          <w:tab w:val="num" w:pos="5760"/>
        </w:tabs>
        <w:ind w:left="5760" w:hanging="360"/>
      </w:pPr>
      <w:rPr>
        <w:rFonts w:ascii="Arial" w:hAnsi="Arial" w:hint="default"/>
      </w:rPr>
    </w:lvl>
    <w:lvl w:ilvl="8" w:tplc="56FA51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38328C"/>
    <w:multiLevelType w:val="hybridMultilevel"/>
    <w:tmpl w:val="3522C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B3A49"/>
    <w:multiLevelType w:val="hybridMultilevel"/>
    <w:tmpl w:val="5288B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11D1F"/>
    <w:multiLevelType w:val="multilevel"/>
    <w:tmpl w:val="ED32368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3CD4A1E"/>
    <w:multiLevelType w:val="hybridMultilevel"/>
    <w:tmpl w:val="8BF6C57E"/>
    <w:lvl w:ilvl="0" w:tplc="1892DED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44970AE"/>
    <w:multiLevelType w:val="hybridMultilevel"/>
    <w:tmpl w:val="47422E64"/>
    <w:lvl w:ilvl="0" w:tplc="08090019">
      <w:start w:val="1"/>
      <w:numFmt w:val="lowerLetter"/>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D75FE3"/>
    <w:multiLevelType w:val="multilevel"/>
    <w:tmpl w:val="4EEE80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F71648"/>
    <w:multiLevelType w:val="multilevel"/>
    <w:tmpl w:val="D5C80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B64FD5"/>
    <w:multiLevelType w:val="hybridMultilevel"/>
    <w:tmpl w:val="65C80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1D2DE7"/>
    <w:multiLevelType w:val="hybridMultilevel"/>
    <w:tmpl w:val="686EA3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872BA"/>
    <w:multiLevelType w:val="hybridMultilevel"/>
    <w:tmpl w:val="0E30A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8079E5"/>
    <w:multiLevelType w:val="hybridMultilevel"/>
    <w:tmpl w:val="4EDA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134B1"/>
    <w:multiLevelType w:val="hybridMultilevel"/>
    <w:tmpl w:val="4D507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C1416"/>
    <w:multiLevelType w:val="hybridMultilevel"/>
    <w:tmpl w:val="827EAF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57FAF"/>
    <w:multiLevelType w:val="hybridMultilevel"/>
    <w:tmpl w:val="72F47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041615"/>
    <w:multiLevelType w:val="hybridMultilevel"/>
    <w:tmpl w:val="AED4A268"/>
    <w:lvl w:ilvl="0" w:tplc="1DB622B0">
      <w:start w:val="1"/>
      <w:numFmt w:val="bullet"/>
      <w:lvlText w:val="•"/>
      <w:lvlJc w:val="left"/>
      <w:pPr>
        <w:tabs>
          <w:tab w:val="num" w:pos="360"/>
        </w:tabs>
        <w:ind w:left="360" w:hanging="360"/>
      </w:pPr>
      <w:rPr>
        <w:rFonts w:ascii="Arial" w:hAnsi="Arial" w:hint="default"/>
      </w:rPr>
    </w:lvl>
    <w:lvl w:ilvl="1" w:tplc="33D6F5D6">
      <w:start w:val="2261"/>
      <w:numFmt w:val="bullet"/>
      <w:lvlText w:val="•"/>
      <w:lvlJc w:val="left"/>
      <w:pPr>
        <w:tabs>
          <w:tab w:val="num" w:pos="1080"/>
        </w:tabs>
        <w:ind w:left="1080" w:hanging="360"/>
      </w:pPr>
      <w:rPr>
        <w:rFonts w:ascii="Arial" w:hAnsi="Arial" w:hint="default"/>
      </w:rPr>
    </w:lvl>
    <w:lvl w:ilvl="2" w:tplc="BF9E9CAC" w:tentative="1">
      <w:start w:val="1"/>
      <w:numFmt w:val="bullet"/>
      <w:lvlText w:val="•"/>
      <w:lvlJc w:val="left"/>
      <w:pPr>
        <w:tabs>
          <w:tab w:val="num" w:pos="1800"/>
        </w:tabs>
        <w:ind w:left="1800" w:hanging="360"/>
      </w:pPr>
      <w:rPr>
        <w:rFonts w:ascii="Arial" w:hAnsi="Arial" w:hint="default"/>
      </w:rPr>
    </w:lvl>
    <w:lvl w:ilvl="3" w:tplc="FE56BBD2" w:tentative="1">
      <w:start w:val="1"/>
      <w:numFmt w:val="bullet"/>
      <w:lvlText w:val="•"/>
      <w:lvlJc w:val="left"/>
      <w:pPr>
        <w:tabs>
          <w:tab w:val="num" w:pos="2520"/>
        </w:tabs>
        <w:ind w:left="2520" w:hanging="360"/>
      </w:pPr>
      <w:rPr>
        <w:rFonts w:ascii="Arial" w:hAnsi="Arial" w:hint="default"/>
      </w:rPr>
    </w:lvl>
    <w:lvl w:ilvl="4" w:tplc="E11EE3C4" w:tentative="1">
      <w:start w:val="1"/>
      <w:numFmt w:val="bullet"/>
      <w:lvlText w:val="•"/>
      <w:lvlJc w:val="left"/>
      <w:pPr>
        <w:tabs>
          <w:tab w:val="num" w:pos="3240"/>
        </w:tabs>
        <w:ind w:left="3240" w:hanging="360"/>
      </w:pPr>
      <w:rPr>
        <w:rFonts w:ascii="Arial" w:hAnsi="Arial" w:hint="default"/>
      </w:rPr>
    </w:lvl>
    <w:lvl w:ilvl="5" w:tplc="515CCBBC" w:tentative="1">
      <w:start w:val="1"/>
      <w:numFmt w:val="bullet"/>
      <w:lvlText w:val="•"/>
      <w:lvlJc w:val="left"/>
      <w:pPr>
        <w:tabs>
          <w:tab w:val="num" w:pos="3960"/>
        </w:tabs>
        <w:ind w:left="3960" w:hanging="360"/>
      </w:pPr>
      <w:rPr>
        <w:rFonts w:ascii="Arial" w:hAnsi="Arial" w:hint="default"/>
      </w:rPr>
    </w:lvl>
    <w:lvl w:ilvl="6" w:tplc="8CB20B0A" w:tentative="1">
      <w:start w:val="1"/>
      <w:numFmt w:val="bullet"/>
      <w:lvlText w:val="•"/>
      <w:lvlJc w:val="left"/>
      <w:pPr>
        <w:tabs>
          <w:tab w:val="num" w:pos="4680"/>
        </w:tabs>
        <w:ind w:left="4680" w:hanging="360"/>
      </w:pPr>
      <w:rPr>
        <w:rFonts w:ascii="Arial" w:hAnsi="Arial" w:hint="default"/>
      </w:rPr>
    </w:lvl>
    <w:lvl w:ilvl="7" w:tplc="C4407DBE" w:tentative="1">
      <w:start w:val="1"/>
      <w:numFmt w:val="bullet"/>
      <w:lvlText w:val="•"/>
      <w:lvlJc w:val="left"/>
      <w:pPr>
        <w:tabs>
          <w:tab w:val="num" w:pos="5400"/>
        </w:tabs>
        <w:ind w:left="5400" w:hanging="360"/>
      </w:pPr>
      <w:rPr>
        <w:rFonts w:ascii="Arial" w:hAnsi="Arial" w:hint="default"/>
      </w:rPr>
    </w:lvl>
    <w:lvl w:ilvl="8" w:tplc="5A52714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C5F591E"/>
    <w:multiLevelType w:val="hybridMultilevel"/>
    <w:tmpl w:val="1E364874"/>
    <w:lvl w:ilvl="0" w:tplc="08090019">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0" w15:restartNumberingAfterBreak="0">
    <w:nsid w:val="3D8133DF"/>
    <w:multiLevelType w:val="hybridMultilevel"/>
    <w:tmpl w:val="58567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276819"/>
    <w:multiLevelType w:val="hybridMultilevel"/>
    <w:tmpl w:val="018CAEAC"/>
    <w:lvl w:ilvl="0" w:tplc="7226BE60">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2" w15:restartNumberingAfterBreak="0">
    <w:nsid w:val="41BE4B44"/>
    <w:multiLevelType w:val="hybridMultilevel"/>
    <w:tmpl w:val="A546E9A6"/>
    <w:lvl w:ilvl="0" w:tplc="7E8AE4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130BB"/>
    <w:multiLevelType w:val="hybridMultilevel"/>
    <w:tmpl w:val="5BE03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2DD6380"/>
    <w:multiLevelType w:val="hybridMultilevel"/>
    <w:tmpl w:val="F03EF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AA00E74"/>
    <w:multiLevelType w:val="hybridMultilevel"/>
    <w:tmpl w:val="244CC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E13631C"/>
    <w:multiLevelType w:val="hybridMultilevel"/>
    <w:tmpl w:val="7DE43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1C0EC5"/>
    <w:multiLevelType w:val="hybridMultilevel"/>
    <w:tmpl w:val="A8F0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1D08AD"/>
    <w:multiLevelType w:val="hybridMultilevel"/>
    <w:tmpl w:val="AE42CA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982964"/>
    <w:multiLevelType w:val="hybridMultilevel"/>
    <w:tmpl w:val="4B36E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6A2083"/>
    <w:multiLevelType w:val="hybridMultilevel"/>
    <w:tmpl w:val="C0C4CCD6"/>
    <w:lvl w:ilvl="0" w:tplc="9C0E5BDE">
      <w:start w:val="10"/>
      <w:numFmt w:val="decimal"/>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67C13F0"/>
    <w:multiLevelType w:val="multilevel"/>
    <w:tmpl w:val="2B7EE5F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8E27A8"/>
    <w:multiLevelType w:val="hybridMultilevel"/>
    <w:tmpl w:val="3B083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BA630D"/>
    <w:multiLevelType w:val="hybridMultilevel"/>
    <w:tmpl w:val="5F2C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C54BFB"/>
    <w:multiLevelType w:val="hybridMultilevel"/>
    <w:tmpl w:val="25B2601C"/>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5" w15:restartNumberingAfterBreak="0">
    <w:nsid w:val="60D6390E"/>
    <w:multiLevelType w:val="hybridMultilevel"/>
    <w:tmpl w:val="79A64ADA"/>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693311"/>
    <w:multiLevelType w:val="hybridMultilevel"/>
    <w:tmpl w:val="92AE8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D20D34"/>
    <w:multiLevelType w:val="hybridMultilevel"/>
    <w:tmpl w:val="9B66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B17B98"/>
    <w:multiLevelType w:val="hybridMultilevel"/>
    <w:tmpl w:val="F8A099BC"/>
    <w:lvl w:ilvl="0" w:tplc="6D70EC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3845DA"/>
    <w:multiLevelType w:val="hybridMultilevel"/>
    <w:tmpl w:val="0C38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E943AF"/>
    <w:multiLevelType w:val="hybridMultilevel"/>
    <w:tmpl w:val="C560A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837F2"/>
    <w:multiLevelType w:val="hybridMultilevel"/>
    <w:tmpl w:val="11F67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9650BD3"/>
    <w:multiLevelType w:val="hybridMultilevel"/>
    <w:tmpl w:val="AEFED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575B37"/>
    <w:multiLevelType w:val="hybridMultilevel"/>
    <w:tmpl w:val="25FCB2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6C63BE"/>
    <w:multiLevelType w:val="hybridMultilevel"/>
    <w:tmpl w:val="274020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7F01D6"/>
    <w:multiLevelType w:val="hybridMultilevel"/>
    <w:tmpl w:val="AE42CA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566730"/>
    <w:multiLevelType w:val="hybridMultilevel"/>
    <w:tmpl w:val="1D106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692291"/>
    <w:multiLevelType w:val="hybridMultilevel"/>
    <w:tmpl w:val="A718F61E"/>
    <w:lvl w:ilvl="0" w:tplc="08090001">
      <w:start w:val="1"/>
      <w:numFmt w:val="bullet"/>
      <w:lvlText w:val=""/>
      <w:lvlJc w:val="left"/>
      <w:pPr>
        <w:ind w:left="720" w:hanging="360"/>
      </w:pPr>
      <w:rPr>
        <w:rFonts w:ascii="Symbol" w:hAnsi="Symbol" w:cs="Symbol" w:hint="default"/>
      </w:rPr>
    </w:lvl>
    <w:lvl w:ilvl="1" w:tplc="92C64E1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169249">
    <w:abstractNumId w:val="32"/>
  </w:num>
  <w:num w:numId="2" w16cid:durableId="996228427">
    <w:abstractNumId w:val="17"/>
  </w:num>
  <w:num w:numId="3" w16cid:durableId="1866017537">
    <w:abstractNumId w:val="9"/>
  </w:num>
  <w:num w:numId="4" w16cid:durableId="1451627238">
    <w:abstractNumId w:val="27"/>
  </w:num>
  <w:num w:numId="5" w16cid:durableId="741834154">
    <w:abstractNumId w:val="15"/>
  </w:num>
  <w:num w:numId="6" w16cid:durableId="1979334486">
    <w:abstractNumId w:val="22"/>
  </w:num>
  <w:num w:numId="7" w16cid:durableId="240721039">
    <w:abstractNumId w:val="16"/>
  </w:num>
  <w:num w:numId="8" w16cid:durableId="80220433">
    <w:abstractNumId w:val="8"/>
  </w:num>
  <w:num w:numId="9" w16cid:durableId="1618873781">
    <w:abstractNumId w:val="12"/>
  </w:num>
  <w:num w:numId="10" w16cid:durableId="1041056005">
    <w:abstractNumId w:val="42"/>
  </w:num>
  <w:num w:numId="11" w16cid:durableId="19748057">
    <w:abstractNumId w:val="35"/>
  </w:num>
  <w:num w:numId="12" w16cid:durableId="1504079361">
    <w:abstractNumId w:val="34"/>
  </w:num>
  <w:num w:numId="13" w16cid:durableId="634994346">
    <w:abstractNumId w:val="21"/>
  </w:num>
  <w:num w:numId="14" w16cid:durableId="1085876616">
    <w:abstractNumId w:val="19"/>
  </w:num>
  <w:num w:numId="15" w16cid:durableId="367069696">
    <w:abstractNumId w:val="0"/>
  </w:num>
  <w:num w:numId="16" w16cid:durableId="405497752">
    <w:abstractNumId w:val="47"/>
  </w:num>
  <w:num w:numId="17" w16cid:durableId="968515930">
    <w:abstractNumId w:val="1"/>
  </w:num>
  <w:num w:numId="18" w16cid:durableId="1059134619">
    <w:abstractNumId w:val="11"/>
  </w:num>
  <w:num w:numId="19" w16cid:durableId="1607738060">
    <w:abstractNumId w:val="5"/>
  </w:num>
  <w:num w:numId="20" w16cid:durableId="78840200">
    <w:abstractNumId w:val="4"/>
  </w:num>
  <w:num w:numId="21" w16cid:durableId="11205658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494510">
    <w:abstractNumId w:val="44"/>
  </w:num>
  <w:num w:numId="23" w16cid:durableId="1890457601">
    <w:abstractNumId w:val="40"/>
  </w:num>
  <w:num w:numId="24" w16cid:durableId="1460147226">
    <w:abstractNumId w:val="3"/>
  </w:num>
  <w:num w:numId="25" w16cid:durableId="2007006301">
    <w:abstractNumId w:val="18"/>
  </w:num>
  <w:num w:numId="26" w16cid:durableId="647899283">
    <w:abstractNumId w:val="37"/>
  </w:num>
  <w:num w:numId="27" w16cid:durableId="1020088014">
    <w:abstractNumId w:val="28"/>
  </w:num>
  <w:num w:numId="28" w16cid:durableId="226693706">
    <w:abstractNumId w:val="30"/>
  </w:num>
  <w:num w:numId="29" w16cid:durableId="1941839953">
    <w:abstractNumId w:val="2"/>
  </w:num>
  <w:num w:numId="30" w16cid:durableId="235669276">
    <w:abstractNumId w:val="43"/>
  </w:num>
  <w:num w:numId="31" w16cid:durableId="1991253004">
    <w:abstractNumId w:val="31"/>
  </w:num>
  <w:num w:numId="32" w16cid:durableId="125704762">
    <w:abstractNumId w:val="33"/>
  </w:num>
  <w:num w:numId="33" w16cid:durableId="746924564">
    <w:abstractNumId w:val="45"/>
  </w:num>
  <w:num w:numId="34" w16cid:durableId="1192840622">
    <w:abstractNumId w:val="6"/>
  </w:num>
  <w:num w:numId="35" w16cid:durableId="1188442886">
    <w:abstractNumId w:val="7"/>
  </w:num>
  <w:num w:numId="36" w16cid:durableId="1480227304">
    <w:abstractNumId w:val="14"/>
  </w:num>
  <w:num w:numId="37" w16cid:durableId="85156736">
    <w:abstractNumId w:val="20"/>
  </w:num>
  <w:num w:numId="38" w16cid:durableId="843396578">
    <w:abstractNumId w:val="24"/>
  </w:num>
  <w:num w:numId="39" w16cid:durableId="785008763">
    <w:abstractNumId w:val="29"/>
  </w:num>
  <w:num w:numId="40" w16cid:durableId="1322585705">
    <w:abstractNumId w:val="23"/>
  </w:num>
  <w:num w:numId="41" w16cid:durableId="866214272">
    <w:abstractNumId w:val="41"/>
  </w:num>
  <w:num w:numId="42" w16cid:durableId="1890875798">
    <w:abstractNumId w:val="13"/>
  </w:num>
  <w:num w:numId="43" w16cid:durableId="1151630187">
    <w:abstractNumId w:val="46"/>
  </w:num>
  <w:num w:numId="44" w16cid:durableId="265230965">
    <w:abstractNumId w:val="26"/>
  </w:num>
  <w:num w:numId="45" w16cid:durableId="137309460">
    <w:abstractNumId w:val="36"/>
  </w:num>
  <w:num w:numId="46" w16cid:durableId="2051998515">
    <w:abstractNumId w:val="10"/>
  </w:num>
  <w:num w:numId="47" w16cid:durableId="416026573">
    <w:abstractNumId w:val="39"/>
  </w:num>
  <w:num w:numId="48" w16cid:durableId="1449350363">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27"/>
    <w:rsid w:val="0000058C"/>
    <w:rsid w:val="000011D4"/>
    <w:rsid w:val="00001320"/>
    <w:rsid w:val="00005DEE"/>
    <w:rsid w:val="000065D9"/>
    <w:rsid w:val="00010210"/>
    <w:rsid w:val="00010764"/>
    <w:rsid w:val="0001168A"/>
    <w:rsid w:val="000127BE"/>
    <w:rsid w:val="000142A4"/>
    <w:rsid w:val="0001457E"/>
    <w:rsid w:val="00015155"/>
    <w:rsid w:val="00016114"/>
    <w:rsid w:val="00017CD3"/>
    <w:rsid w:val="00021075"/>
    <w:rsid w:val="000212D2"/>
    <w:rsid w:val="000215D6"/>
    <w:rsid w:val="0002250D"/>
    <w:rsid w:val="0002273C"/>
    <w:rsid w:val="00022A57"/>
    <w:rsid w:val="00022C55"/>
    <w:rsid w:val="00022D0C"/>
    <w:rsid w:val="00024BD8"/>
    <w:rsid w:val="000259E8"/>
    <w:rsid w:val="00027678"/>
    <w:rsid w:val="00030BFC"/>
    <w:rsid w:val="00032ECF"/>
    <w:rsid w:val="000344F1"/>
    <w:rsid w:val="0003492D"/>
    <w:rsid w:val="0003716D"/>
    <w:rsid w:val="000405E9"/>
    <w:rsid w:val="00040626"/>
    <w:rsid w:val="000424B9"/>
    <w:rsid w:val="00042F3C"/>
    <w:rsid w:val="00044AA0"/>
    <w:rsid w:val="0004687C"/>
    <w:rsid w:val="00050A82"/>
    <w:rsid w:val="000522C4"/>
    <w:rsid w:val="00052A1C"/>
    <w:rsid w:val="00055C3B"/>
    <w:rsid w:val="00057552"/>
    <w:rsid w:val="00057CAE"/>
    <w:rsid w:val="00060135"/>
    <w:rsid w:val="00063743"/>
    <w:rsid w:val="00063B36"/>
    <w:rsid w:val="00065652"/>
    <w:rsid w:val="000716CC"/>
    <w:rsid w:val="00071A65"/>
    <w:rsid w:val="00072591"/>
    <w:rsid w:val="00072CCF"/>
    <w:rsid w:val="00073043"/>
    <w:rsid w:val="000730A4"/>
    <w:rsid w:val="00074F91"/>
    <w:rsid w:val="0007500A"/>
    <w:rsid w:val="0007663C"/>
    <w:rsid w:val="00076718"/>
    <w:rsid w:val="000779AA"/>
    <w:rsid w:val="00080B70"/>
    <w:rsid w:val="00082127"/>
    <w:rsid w:val="00082859"/>
    <w:rsid w:val="00083D9C"/>
    <w:rsid w:val="000848F6"/>
    <w:rsid w:val="0008628F"/>
    <w:rsid w:val="00086F05"/>
    <w:rsid w:val="0009100D"/>
    <w:rsid w:val="00091390"/>
    <w:rsid w:val="00091A4E"/>
    <w:rsid w:val="00092880"/>
    <w:rsid w:val="00093977"/>
    <w:rsid w:val="0009421C"/>
    <w:rsid w:val="00094BB2"/>
    <w:rsid w:val="00094D65"/>
    <w:rsid w:val="000954BA"/>
    <w:rsid w:val="00097FD7"/>
    <w:rsid w:val="000A05F0"/>
    <w:rsid w:val="000A10FA"/>
    <w:rsid w:val="000A3D3E"/>
    <w:rsid w:val="000A51D6"/>
    <w:rsid w:val="000A5B88"/>
    <w:rsid w:val="000A5F10"/>
    <w:rsid w:val="000A64A6"/>
    <w:rsid w:val="000A6B87"/>
    <w:rsid w:val="000A736B"/>
    <w:rsid w:val="000A7D29"/>
    <w:rsid w:val="000B03A7"/>
    <w:rsid w:val="000B0959"/>
    <w:rsid w:val="000B0D6D"/>
    <w:rsid w:val="000B1A86"/>
    <w:rsid w:val="000B24D0"/>
    <w:rsid w:val="000B2793"/>
    <w:rsid w:val="000B32B4"/>
    <w:rsid w:val="000B3661"/>
    <w:rsid w:val="000B3E6B"/>
    <w:rsid w:val="000B411A"/>
    <w:rsid w:val="000B459A"/>
    <w:rsid w:val="000C0365"/>
    <w:rsid w:val="000C03B9"/>
    <w:rsid w:val="000C05D0"/>
    <w:rsid w:val="000C42CA"/>
    <w:rsid w:val="000C53FA"/>
    <w:rsid w:val="000C570C"/>
    <w:rsid w:val="000C6121"/>
    <w:rsid w:val="000C6333"/>
    <w:rsid w:val="000D077E"/>
    <w:rsid w:val="000D12BF"/>
    <w:rsid w:val="000D22D4"/>
    <w:rsid w:val="000D2CA5"/>
    <w:rsid w:val="000D433C"/>
    <w:rsid w:val="000D74A1"/>
    <w:rsid w:val="000E08CE"/>
    <w:rsid w:val="000E3937"/>
    <w:rsid w:val="000E41A6"/>
    <w:rsid w:val="000E42B4"/>
    <w:rsid w:val="000E5EFC"/>
    <w:rsid w:val="000F0F03"/>
    <w:rsid w:val="000F1967"/>
    <w:rsid w:val="000F44B4"/>
    <w:rsid w:val="000F49D2"/>
    <w:rsid w:val="000F5B2D"/>
    <w:rsid w:val="000F6099"/>
    <w:rsid w:val="00100268"/>
    <w:rsid w:val="00100342"/>
    <w:rsid w:val="0010358E"/>
    <w:rsid w:val="001046E9"/>
    <w:rsid w:val="00104AB9"/>
    <w:rsid w:val="00104B65"/>
    <w:rsid w:val="00106A34"/>
    <w:rsid w:val="0011004F"/>
    <w:rsid w:val="0011094B"/>
    <w:rsid w:val="00110DA5"/>
    <w:rsid w:val="001115E7"/>
    <w:rsid w:val="001128A6"/>
    <w:rsid w:val="00114E6F"/>
    <w:rsid w:val="001174E1"/>
    <w:rsid w:val="00122EFA"/>
    <w:rsid w:val="00124F84"/>
    <w:rsid w:val="00127172"/>
    <w:rsid w:val="00127C14"/>
    <w:rsid w:val="00130817"/>
    <w:rsid w:val="00133D58"/>
    <w:rsid w:val="00134124"/>
    <w:rsid w:val="00134990"/>
    <w:rsid w:val="001372C2"/>
    <w:rsid w:val="001377E5"/>
    <w:rsid w:val="00143D53"/>
    <w:rsid w:val="001457CB"/>
    <w:rsid w:val="00147C98"/>
    <w:rsid w:val="0015258E"/>
    <w:rsid w:val="00152F55"/>
    <w:rsid w:val="00153486"/>
    <w:rsid w:val="00155287"/>
    <w:rsid w:val="00157C8C"/>
    <w:rsid w:val="0016197B"/>
    <w:rsid w:val="00161B15"/>
    <w:rsid w:val="00162A8A"/>
    <w:rsid w:val="00163A2B"/>
    <w:rsid w:val="001659CA"/>
    <w:rsid w:val="001663F7"/>
    <w:rsid w:val="00166C59"/>
    <w:rsid w:val="00170B3B"/>
    <w:rsid w:val="00171333"/>
    <w:rsid w:val="001716A9"/>
    <w:rsid w:val="00171AE4"/>
    <w:rsid w:val="0017241A"/>
    <w:rsid w:val="00172FB4"/>
    <w:rsid w:val="00173952"/>
    <w:rsid w:val="00175A9D"/>
    <w:rsid w:val="00175CC9"/>
    <w:rsid w:val="001815F4"/>
    <w:rsid w:val="00181E9F"/>
    <w:rsid w:val="00182871"/>
    <w:rsid w:val="00185904"/>
    <w:rsid w:val="0018784F"/>
    <w:rsid w:val="00187E16"/>
    <w:rsid w:val="00190681"/>
    <w:rsid w:val="00191E8B"/>
    <w:rsid w:val="0019216A"/>
    <w:rsid w:val="00194800"/>
    <w:rsid w:val="001948A7"/>
    <w:rsid w:val="001954F6"/>
    <w:rsid w:val="0019795F"/>
    <w:rsid w:val="001A014E"/>
    <w:rsid w:val="001A3628"/>
    <w:rsid w:val="001A3F93"/>
    <w:rsid w:val="001A401C"/>
    <w:rsid w:val="001A4FAE"/>
    <w:rsid w:val="001A6A0D"/>
    <w:rsid w:val="001A6CC2"/>
    <w:rsid w:val="001B29A2"/>
    <w:rsid w:val="001B4152"/>
    <w:rsid w:val="001B5B6D"/>
    <w:rsid w:val="001B60AF"/>
    <w:rsid w:val="001B79E5"/>
    <w:rsid w:val="001C0210"/>
    <w:rsid w:val="001C027E"/>
    <w:rsid w:val="001C18EB"/>
    <w:rsid w:val="001C1EF2"/>
    <w:rsid w:val="001C385C"/>
    <w:rsid w:val="001C51C2"/>
    <w:rsid w:val="001C566E"/>
    <w:rsid w:val="001C571B"/>
    <w:rsid w:val="001C5F42"/>
    <w:rsid w:val="001C7B14"/>
    <w:rsid w:val="001D0299"/>
    <w:rsid w:val="001D131F"/>
    <w:rsid w:val="001D2F5B"/>
    <w:rsid w:val="001D470C"/>
    <w:rsid w:val="001D608F"/>
    <w:rsid w:val="001D7A22"/>
    <w:rsid w:val="001E03C4"/>
    <w:rsid w:val="001E17CA"/>
    <w:rsid w:val="001E3AE3"/>
    <w:rsid w:val="001E43A7"/>
    <w:rsid w:val="001E44F9"/>
    <w:rsid w:val="001E450D"/>
    <w:rsid w:val="001E4C96"/>
    <w:rsid w:val="001E55C2"/>
    <w:rsid w:val="001E6D9D"/>
    <w:rsid w:val="001E6E3C"/>
    <w:rsid w:val="001E7CDB"/>
    <w:rsid w:val="001F3652"/>
    <w:rsid w:val="001F3854"/>
    <w:rsid w:val="001F3F74"/>
    <w:rsid w:val="001F5DC8"/>
    <w:rsid w:val="001F650B"/>
    <w:rsid w:val="001F65E2"/>
    <w:rsid w:val="002004B3"/>
    <w:rsid w:val="00201F06"/>
    <w:rsid w:val="0020341A"/>
    <w:rsid w:val="002044E3"/>
    <w:rsid w:val="00204E9F"/>
    <w:rsid w:val="0020535E"/>
    <w:rsid w:val="002058F9"/>
    <w:rsid w:val="002131A4"/>
    <w:rsid w:val="00213562"/>
    <w:rsid w:val="002171C9"/>
    <w:rsid w:val="0022284B"/>
    <w:rsid w:val="00222B4A"/>
    <w:rsid w:val="002250AE"/>
    <w:rsid w:val="00226C79"/>
    <w:rsid w:val="00227007"/>
    <w:rsid w:val="002301F0"/>
    <w:rsid w:val="0023059C"/>
    <w:rsid w:val="00231191"/>
    <w:rsid w:val="0023131A"/>
    <w:rsid w:val="0023406F"/>
    <w:rsid w:val="00234405"/>
    <w:rsid w:val="00235102"/>
    <w:rsid w:val="002366AF"/>
    <w:rsid w:val="00236BD6"/>
    <w:rsid w:val="002425A2"/>
    <w:rsid w:val="00242A0F"/>
    <w:rsid w:val="00247C86"/>
    <w:rsid w:val="00250043"/>
    <w:rsid w:val="0025013C"/>
    <w:rsid w:val="00250B70"/>
    <w:rsid w:val="00253310"/>
    <w:rsid w:val="00253DB4"/>
    <w:rsid w:val="002551F1"/>
    <w:rsid w:val="0025553B"/>
    <w:rsid w:val="00255CD0"/>
    <w:rsid w:val="002569D6"/>
    <w:rsid w:val="0025737F"/>
    <w:rsid w:val="00257894"/>
    <w:rsid w:val="00261BFC"/>
    <w:rsid w:val="002630A1"/>
    <w:rsid w:val="00264543"/>
    <w:rsid w:val="00264779"/>
    <w:rsid w:val="002648C6"/>
    <w:rsid w:val="00264BAD"/>
    <w:rsid w:val="00270B6D"/>
    <w:rsid w:val="00271694"/>
    <w:rsid w:val="002726D8"/>
    <w:rsid w:val="00272A94"/>
    <w:rsid w:val="002760FE"/>
    <w:rsid w:val="00276A82"/>
    <w:rsid w:val="002806B6"/>
    <w:rsid w:val="002818E6"/>
    <w:rsid w:val="00282A78"/>
    <w:rsid w:val="00283088"/>
    <w:rsid w:val="00283C5E"/>
    <w:rsid w:val="00283D62"/>
    <w:rsid w:val="0029002B"/>
    <w:rsid w:val="002903EF"/>
    <w:rsid w:val="00292675"/>
    <w:rsid w:val="002936AF"/>
    <w:rsid w:val="002942D2"/>
    <w:rsid w:val="0029485B"/>
    <w:rsid w:val="0029780D"/>
    <w:rsid w:val="002A10B8"/>
    <w:rsid w:val="002A189B"/>
    <w:rsid w:val="002A3667"/>
    <w:rsid w:val="002A36D9"/>
    <w:rsid w:val="002A3E93"/>
    <w:rsid w:val="002A4287"/>
    <w:rsid w:val="002A546F"/>
    <w:rsid w:val="002B02C0"/>
    <w:rsid w:val="002B15C2"/>
    <w:rsid w:val="002B25D8"/>
    <w:rsid w:val="002B39C1"/>
    <w:rsid w:val="002B3FE0"/>
    <w:rsid w:val="002B6972"/>
    <w:rsid w:val="002B7DE5"/>
    <w:rsid w:val="002C004C"/>
    <w:rsid w:val="002C0462"/>
    <w:rsid w:val="002C1779"/>
    <w:rsid w:val="002C1F2D"/>
    <w:rsid w:val="002C554D"/>
    <w:rsid w:val="002C62DA"/>
    <w:rsid w:val="002C768B"/>
    <w:rsid w:val="002C7972"/>
    <w:rsid w:val="002C7BE2"/>
    <w:rsid w:val="002D2B6D"/>
    <w:rsid w:val="002D2E03"/>
    <w:rsid w:val="002D312E"/>
    <w:rsid w:val="002D4D3E"/>
    <w:rsid w:val="002D5034"/>
    <w:rsid w:val="002D58AE"/>
    <w:rsid w:val="002D5CFB"/>
    <w:rsid w:val="002E00F0"/>
    <w:rsid w:val="002E0354"/>
    <w:rsid w:val="002E0843"/>
    <w:rsid w:val="002E105A"/>
    <w:rsid w:val="002E168E"/>
    <w:rsid w:val="002E20AF"/>
    <w:rsid w:val="002E3A1F"/>
    <w:rsid w:val="002E65B6"/>
    <w:rsid w:val="002F05A6"/>
    <w:rsid w:val="002F0DDA"/>
    <w:rsid w:val="002F1CE7"/>
    <w:rsid w:val="002F31E6"/>
    <w:rsid w:val="002F3720"/>
    <w:rsid w:val="002F39C6"/>
    <w:rsid w:val="002F3C87"/>
    <w:rsid w:val="002F62F9"/>
    <w:rsid w:val="002F6EC6"/>
    <w:rsid w:val="002F70D6"/>
    <w:rsid w:val="002F7AE5"/>
    <w:rsid w:val="002F7FE2"/>
    <w:rsid w:val="00300FBE"/>
    <w:rsid w:val="00302CAD"/>
    <w:rsid w:val="00303460"/>
    <w:rsid w:val="00303EC7"/>
    <w:rsid w:val="00304E13"/>
    <w:rsid w:val="00305F7A"/>
    <w:rsid w:val="003072F1"/>
    <w:rsid w:val="00307EE2"/>
    <w:rsid w:val="0031051A"/>
    <w:rsid w:val="0031313E"/>
    <w:rsid w:val="003155D2"/>
    <w:rsid w:val="0031674C"/>
    <w:rsid w:val="00316A7E"/>
    <w:rsid w:val="00317AF7"/>
    <w:rsid w:val="0032121B"/>
    <w:rsid w:val="00323FCD"/>
    <w:rsid w:val="00324151"/>
    <w:rsid w:val="0032460F"/>
    <w:rsid w:val="003260FE"/>
    <w:rsid w:val="00327D26"/>
    <w:rsid w:val="00330D5E"/>
    <w:rsid w:val="0033156E"/>
    <w:rsid w:val="00332D5B"/>
    <w:rsid w:val="00335EDB"/>
    <w:rsid w:val="00335FC0"/>
    <w:rsid w:val="003403A0"/>
    <w:rsid w:val="0034043F"/>
    <w:rsid w:val="003418BC"/>
    <w:rsid w:val="003419F2"/>
    <w:rsid w:val="00342C91"/>
    <w:rsid w:val="00342D21"/>
    <w:rsid w:val="00344DC0"/>
    <w:rsid w:val="00345900"/>
    <w:rsid w:val="00345C71"/>
    <w:rsid w:val="00345D7E"/>
    <w:rsid w:val="00351106"/>
    <w:rsid w:val="00351145"/>
    <w:rsid w:val="00351D2E"/>
    <w:rsid w:val="003520DC"/>
    <w:rsid w:val="003529D7"/>
    <w:rsid w:val="0035309D"/>
    <w:rsid w:val="00354AD1"/>
    <w:rsid w:val="00356A26"/>
    <w:rsid w:val="00357432"/>
    <w:rsid w:val="00363109"/>
    <w:rsid w:val="00363D9B"/>
    <w:rsid w:val="00364335"/>
    <w:rsid w:val="00364DC7"/>
    <w:rsid w:val="0037011B"/>
    <w:rsid w:val="003704E0"/>
    <w:rsid w:val="00372953"/>
    <w:rsid w:val="00374F77"/>
    <w:rsid w:val="003801A0"/>
    <w:rsid w:val="003828A5"/>
    <w:rsid w:val="003856EC"/>
    <w:rsid w:val="00386098"/>
    <w:rsid w:val="003870FB"/>
    <w:rsid w:val="0038727A"/>
    <w:rsid w:val="00387840"/>
    <w:rsid w:val="00390801"/>
    <w:rsid w:val="003918F0"/>
    <w:rsid w:val="00392FDA"/>
    <w:rsid w:val="003944F0"/>
    <w:rsid w:val="003945B2"/>
    <w:rsid w:val="0039626F"/>
    <w:rsid w:val="00396EF1"/>
    <w:rsid w:val="003975FB"/>
    <w:rsid w:val="003A0B96"/>
    <w:rsid w:val="003A210A"/>
    <w:rsid w:val="003A227C"/>
    <w:rsid w:val="003A39B0"/>
    <w:rsid w:val="003A48DA"/>
    <w:rsid w:val="003A4D9F"/>
    <w:rsid w:val="003A61B2"/>
    <w:rsid w:val="003A7680"/>
    <w:rsid w:val="003B0F81"/>
    <w:rsid w:val="003B132D"/>
    <w:rsid w:val="003B1825"/>
    <w:rsid w:val="003B3900"/>
    <w:rsid w:val="003B5610"/>
    <w:rsid w:val="003B78D0"/>
    <w:rsid w:val="003C15D1"/>
    <w:rsid w:val="003C2042"/>
    <w:rsid w:val="003C2768"/>
    <w:rsid w:val="003C52AD"/>
    <w:rsid w:val="003C6680"/>
    <w:rsid w:val="003C66B0"/>
    <w:rsid w:val="003D1EE3"/>
    <w:rsid w:val="003D4DEF"/>
    <w:rsid w:val="003D5A75"/>
    <w:rsid w:val="003D5D97"/>
    <w:rsid w:val="003D70E5"/>
    <w:rsid w:val="003E0665"/>
    <w:rsid w:val="003E389A"/>
    <w:rsid w:val="003F22FB"/>
    <w:rsid w:val="003F6240"/>
    <w:rsid w:val="00402288"/>
    <w:rsid w:val="00403139"/>
    <w:rsid w:val="00403604"/>
    <w:rsid w:val="00404474"/>
    <w:rsid w:val="00404587"/>
    <w:rsid w:val="00404C05"/>
    <w:rsid w:val="00404C72"/>
    <w:rsid w:val="00404FA5"/>
    <w:rsid w:val="0040505F"/>
    <w:rsid w:val="004054A2"/>
    <w:rsid w:val="00407543"/>
    <w:rsid w:val="00412E33"/>
    <w:rsid w:val="0041418B"/>
    <w:rsid w:val="00414223"/>
    <w:rsid w:val="00416A49"/>
    <w:rsid w:val="00416AED"/>
    <w:rsid w:val="004219BF"/>
    <w:rsid w:val="00424AEA"/>
    <w:rsid w:val="004259D1"/>
    <w:rsid w:val="004260E7"/>
    <w:rsid w:val="004265D7"/>
    <w:rsid w:val="0042688E"/>
    <w:rsid w:val="00426C96"/>
    <w:rsid w:val="004278AC"/>
    <w:rsid w:val="0043058E"/>
    <w:rsid w:val="00430624"/>
    <w:rsid w:val="00430BF3"/>
    <w:rsid w:val="004313BB"/>
    <w:rsid w:val="00432671"/>
    <w:rsid w:val="00433436"/>
    <w:rsid w:val="004336B3"/>
    <w:rsid w:val="00433D89"/>
    <w:rsid w:val="004346B6"/>
    <w:rsid w:val="004359F0"/>
    <w:rsid w:val="00435B60"/>
    <w:rsid w:val="004362B3"/>
    <w:rsid w:val="004400D6"/>
    <w:rsid w:val="00440A06"/>
    <w:rsid w:val="0044203A"/>
    <w:rsid w:val="00447189"/>
    <w:rsid w:val="00447E5A"/>
    <w:rsid w:val="00447E7A"/>
    <w:rsid w:val="004503F0"/>
    <w:rsid w:val="004517C9"/>
    <w:rsid w:val="00455888"/>
    <w:rsid w:val="00455EA3"/>
    <w:rsid w:val="00455EAF"/>
    <w:rsid w:val="0046133F"/>
    <w:rsid w:val="00463EB1"/>
    <w:rsid w:val="00464951"/>
    <w:rsid w:val="00467C8B"/>
    <w:rsid w:val="00470940"/>
    <w:rsid w:val="004751D9"/>
    <w:rsid w:val="00476847"/>
    <w:rsid w:val="00476EDE"/>
    <w:rsid w:val="00480EB8"/>
    <w:rsid w:val="00485126"/>
    <w:rsid w:val="0048630F"/>
    <w:rsid w:val="0049074B"/>
    <w:rsid w:val="004908DD"/>
    <w:rsid w:val="00490E37"/>
    <w:rsid w:val="004913F4"/>
    <w:rsid w:val="00492D85"/>
    <w:rsid w:val="004931D1"/>
    <w:rsid w:val="00493A27"/>
    <w:rsid w:val="00494FFA"/>
    <w:rsid w:val="0049662F"/>
    <w:rsid w:val="0049718C"/>
    <w:rsid w:val="004A0750"/>
    <w:rsid w:val="004A08C2"/>
    <w:rsid w:val="004A1E06"/>
    <w:rsid w:val="004A1E7D"/>
    <w:rsid w:val="004A2FBE"/>
    <w:rsid w:val="004A3C37"/>
    <w:rsid w:val="004A4666"/>
    <w:rsid w:val="004A4854"/>
    <w:rsid w:val="004A537B"/>
    <w:rsid w:val="004A5A9C"/>
    <w:rsid w:val="004A5C89"/>
    <w:rsid w:val="004A6415"/>
    <w:rsid w:val="004A64D1"/>
    <w:rsid w:val="004A6C06"/>
    <w:rsid w:val="004A76FF"/>
    <w:rsid w:val="004A7704"/>
    <w:rsid w:val="004B15BF"/>
    <w:rsid w:val="004B351E"/>
    <w:rsid w:val="004B4803"/>
    <w:rsid w:val="004B5629"/>
    <w:rsid w:val="004B5B14"/>
    <w:rsid w:val="004B6B04"/>
    <w:rsid w:val="004B70A3"/>
    <w:rsid w:val="004B79A4"/>
    <w:rsid w:val="004C0F7C"/>
    <w:rsid w:val="004C21C0"/>
    <w:rsid w:val="004C2ABE"/>
    <w:rsid w:val="004C3663"/>
    <w:rsid w:val="004C408D"/>
    <w:rsid w:val="004C40BF"/>
    <w:rsid w:val="004C4A1D"/>
    <w:rsid w:val="004C5C1E"/>
    <w:rsid w:val="004D1147"/>
    <w:rsid w:val="004D288B"/>
    <w:rsid w:val="004D3734"/>
    <w:rsid w:val="004D4728"/>
    <w:rsid w:val="004D5116"/>
    <w:rsid w:val="004D5761"/>
    <w:rsid w:val="004D7B7F"/>
    <w:rsid w:val="004E4EF5"/>
    <w:rsid w:val="004E65E3"/>
    <w:rsid w:val="004E6FD0"/>
    <w:rsid w:val="004E71FF"/>
    <w:rsid w:val="004E7396"/>
    <w:rsid w:val="004F11BB"/>
    <w:rsid w:val="004F3717"/>
    <w:rsid w:val="004F44FA"/>
    <w:rsid w:val="004F5D52"/>
    <w:rsid w:val="004F6151"/>
    <w:rsid w:val="004F7042"/>
    <w:rsid w:val="0050198A"/>
    <w:rsid w:val="00501C14"/>
    <w:rsid w:val="00501ED9"/>
    <w:rsid w:val="005032B0"/>
    <w:rsid w:val="00503F07"/>
    <w:rsid w:val="00504080"/>
    <w:rsid w:val="0050439D"/>
    <w:rsid w:val="005050F7"/>
    <w:rsid w:val="005066FA"/>
    <w:rsid w:val="00512FB9"/>
    <w:rsid w:val="00515561"/>
    <w:rsid w:val="005164A4"/>
    <w:rsid w:val="005170AF"/>
    <w:rsid w:val="0052300C"/>
    <w:rsid w:val="005237C5"/>
    <w:rsid w:val="00524457"/>
    <w:rsid w:val="00525FA2"/>
    <w:rsid w:val="005277F0"/>
    <w:rsid w:val="00527D9A"/>
    <w:rsid w:val="0053045D"/>
    <w:rsid w:val="00531958"/>
    <w:rsid w:val="00534EBF"/>
    <w:rsid w:val="00535CC1"/>
    <w:rsid w:val="0053641F"/>
    <w:rsid w:val="00540459"/>
    <w:rsid w:val="0054068F"/>
    <w:rsid w:val="00541EC5"/>
    <w:rsid w:val="005437B1"/>
    <w:rsid w:val="00545819"/>
    <w:rsid w:val="005462C2"/>
    <w:rsid w:val="00546518"/>
    <w:rsid w:val="00550658"/>
    <w:rsid w:val="00551120"/>
    <w:rsid w:val="005525BE"/>
    <w:rsid w:val="0055462D"/>
    <w:rsid w:val="00555052"/>
    <w:rsid w:val="005556A8"/>
    <w:rsid w:val="005556D8"/>
    <w:rsid w:val="00555B31"/>
    <w:rsid w:val="00556D11"/>
    <w:rsid w:val="00556F9D"/>
    <w:rsid w:val="0055702F"/>
    <w:rsid w:val="005579C7"/>
    <w:rsid w:val="005605CD"/>
    <w:rsid w:val="00564336"/>
    <w:rsid w:val="00564383"/>
    <w:rsid w:val="00565540"/>
    <w:rsid w:val="005678F0"/>
    <w:rsid w:val="005702F1"/>
    <w:rsid w:val="00570A8E"/>
    <w:rsid w:val="005712E4"/>
    <w:rsid w:val="00571488"/>
    <w:rsid w:val="00571F2E"/>
    <w:rsid w:val="00572A96"/>
    <w:rsid w:val="005771BC"/>
    <w:rsid w:val="005810F6"/>
    <w:rsid w:val="00581127"/>
    <w:rsid w:val="00581F65"/>
    <w:rsid w:val="005823F6"/>
    <w:rsid w:val="005834C7"/>
    <w:rsid w:val="0058513C"/>
    <w:rsid w:val="0058614E"/>
    <w:rsid w:val="0058634B"/>
    <w:rsid w:val="00587AFC"/>
    <w:rsid w:val="005903C8"/>
    <w:rsid w:val="0059053A"/>
    <w:rsid w:val="00590BE5"/>
    <w:rsid w:val="005921AD"/>
    <w:rsid w:val="0059429F"/>
    <w:rsid w:val="00596D44"/>
    <w:rsid w:val="005A038C"/>
    <w:rsid w:val="005A0D7E"/>
    <w:rsid w:val="005A185B"/>
    <w:rsid w:val="005A436F"/>
    <w:rsid w:val="005A5048"/>
    <w:rsid w:val="005A666E"/>
    <w:rsid w:val="005A7226"/>
    <w:rsid w:val="005B23A1"/>
    <w:rsid w:val="005B2531"/>
    <w:rsid w:val="005B2CC3"/>
    <w:rsid w:val="005B2E27"/>
    <w:rsid w:val="005B308A"/>
    <w:rsid w:val="005B37CD"/>
    <w:rsid w:val="005B5443"/>
    <w:rsid w:val="005B6F32"/>
    <w:rsid w:val="005B76CD"/>
    <w:rsid w:val="005B7B1B"/>
    <w:rsid w:val="005B7D9D"/>
    <w:rsid w:val="005C5F8B"/>
    <w:rsid w:val="005D1C88"/>
    <w:rsid w:val="005D21C5"/>
    <w:rsid w:val="005D2246"/>
    <w:rsid w:val="005D6020"/>
    <w:rsid w:val="005D7997"/>
    <w:rsid w:val="005D7AA3"/>
    <w:rsid w:val="005E28B0"/>
    <w:rsid w:val="005E295E"/>
    <w:rsid w:val="005E2CC4"/>
    <w:rsid w:val="005E3301"/>
    <w:rsid w:val="005E5BE2"/>
    <w:rsid w:val="005E7D88"/>
    <w:rsid w:val="005F026E"/>
    <w:rsid w:val="005F1CCE"/>
    <w:rsid w:val="005F2108"/>
    <w:rsid w:val="005F2A93"/>
    <w:rsid w:val="005F2CCE"/>
    <w:rsid w:val="005F3748"/>
    <w:rsid w:val="005F4717"/>
    <w:rsid w:val="005F60BE"/>
    <w:rsid w:val="005F6523"/>
    <w:rsid w:val="00600A0D"/>
    <w:rsid w:val="00602103"/>
    <w:rsid w:val="00603742"/>
    <w:rsid w:val="00612D29"/>
    <w:rsid w:val="00612F1A"/>
    <w:rsid w:val="00613291"/>
    <w:rsid w:val="00613D96"/>
    <w:rsid w:val="0061567F"/>
    <w:rsid w:val="00616379"/>
    <w:rsid w:val="006209FE"/>
    <w:rsid w:val="00623363"/>
    <w:rsid w:val="006245E4"/>
    <w:rsid w:val="0062544C"/>
    <w:rsid w:val="00626A88"/>
    <w:rsid w:val="0062761D"/>
    <w:rsid w:val="00630525"/>
    <w:rsid w:val="006305AD"/>
    <w:rsid w:val="00635AB1"/>
    <w:rsid w:val="00641AF0"/>
    <w:rsid w:val="006423CD"/>
    <w:rsid w:val="00643C4A"/>
    <w:rsid w:val="006443FA"/>
    <w:rsid w:val="00644D7B"/>
    <w:rsid w:val="00645BBF"/>
    <w:rsid w:val="006467FB"/>
    <w:rsid w:val="006471FE"/>
    <w:rsid w:val="006479AA"/>
    <w:rsid w:val="006479C2"/>
    <w:rsid w:val="00653030"/>
    <w:rsid w:val="00654A0F"/>
    <w:rsid w:val="00656A82"/>
    <w:rsid w:val="00656EFF"/>
    <w:rsid w:val="00661592"/>
    <w:rsid w:val="006620A0"/>
    <w:rsid w:val="00663F89"/>
    <w:rsid w:val="0066567C"/>
    <w:rsid w:val="00665C3E"/>
    <w:rsid w:val="00667E7D"/>
    <w:rsid w:val="00671745"/>
    <w:rsid w:val="00672288"/>
    <w:rsid w:val="00673D58"/>
    <w:rsid w:val="006741CB"/>
    <w:rsid w:val="006745CD"/>
    <w:rsid w:val="006815BE"/>
    <w:rsid w:val="00681C8B"/>
    <w:rsid w:val="00681D1E"/>
    <w:rsid w:val="00683AFF"/>
    <w:rsid w:val="00684DC9"/>
    <w:rsid w:val="00686292"/>
    <w:rsid w:val="00687DEB"/>
    <w:rsid w:val="006900E9"/>
    <w:rsid w:val="00690195"/>
    <w:rsid w:val="00690B51"/>
    <w:rsid w:val="006910FE"/>
    <w:rsid w:val="00695121"/>
    <w:rsid w:val="00695E18"/>
    <w:rsid w:val="006A01BF"/>
    <w:rsid w:val="006A0D11"/>
    <w:rsid w:val="006A0EB5"/>
    <w:rsid w:val="006A337F"/>
    <w:rsid w:val="006A3899"/>
    <w:rsid w:val="006A4931"/>
    <w:rsid w:val="006A5377"/>
    <w:rsid w:val="006B2D3B"/>
    <w:rsid w:val="006B3002"/>
    <w:rsid w:val="006B465A"/>
    <w:rsid w:val="006B6D86"/>
    <w:rsid w:val="006C013A"/>
    <w:rsid w:val="006C08CF"/>
    <w:rsid w:val="006C0C17"/>
    <w:rsid w:val="006C2165"/>
    <w:rsid w:val="006C2707"/>
    <w:rsid w:val="006C3140"/>
    <w:rsid w:val="006C3156"/>
    <w:rsid w:val="006C356B"/>
    <w:rsid w:val="006C3F68"/>
    <w:rsid w:val="006C4E46"/>
    <w:rsid w:val="006C5439"/>
    <w:rsid w:val="006C6C2F"/>
    <w:rsid w:val="006D2CC7"/>
    <w:rsid w:val="006D2E6E"/>
    <w:rsid w:val="006D523E"/>
    <w:rsid w:val="006D5268"/>
    <w:rsid w:val="006E215F"/>
    <w:rsid w:val="006E21C2"/>
    <w:rsid w:val="006E6643"/>
    <w:rsid w:val="006E77F7"/>
    <w:rsid w:val="006E784F"/>
    <w:rsid w:val="006F0464"/>
    <w:rsid w:val="006F1D8C"/>
    <w:rsid w:val="006F2ACC"/>
    <w:rsid w:val="006F2F8C"/>
    <w:rsid w:val="006F4E86"/>
    <w:rsid w:val="006F5BEB"/>
    <w:rsid w:val="006F6D57"/>
    <w:rsid w:val="006F7497"/>
    <w:rsid w:val="006F75EB"/>
    <w:rsid w:val="00702272"/>
    <w:rsid w:val="00702CD3"/>
    <w:rsid w:val="00704109"/>
    <w:rsid w:val="00704487"/>
    <w:rsid w:val="007053C3"/>
    <w:rsid w:val="00705797"/>
    <w:rsid w:val="00707A50"/>
    <w:rsid w:val="00710D2D"/>
    <w:rsid w:val="00712266"/>
    <w:rsid w:val="0071297B"/>
    <w:rsid w:val="00713A8A"/>
    <w:rsid w:val="00714242"/>
    <w:rsid w:val="00716937"/>
    <w:rsid w:val="00717189"/>
    <w:rsid w:val="007179A7"/>
    <w:rsid w:val="00720E27"/>
    <w:rsid w:val="00721663"/>
    <w:rsid w:val="00721BDC"/>
    <w:rsid w:val="00723DD3"/>
    <w:rsid w:val="00724408"/>
    <w:rsid w:val="007244AD"/>
    <w:rsid w:val="007245FF"/>
    <w:rsid w:val="007261D0"/>
    <w:rsid w:val="00726B4E"/>
    <w:rsid w:val="007278FA"/>
    <w:rsid w:val="00727A01"/>
    <w:rsid w:val="0073041B"/>
    <w:rsid w:val="00730C17"/>
    <w:rsid w:val="007311D8"/>
    <w:rsid w:val="00731C21"/>
    <w:rsid w:val="0073209B"/>
    <w:rsid w:val="00735B94"/>
    <w:rsid w:val="00735BE7"/>
    <w:rsid w:val="00736BB0"/>
    <w:rsid w:val="0074451B"/>
    <w:rsid w:val="0074580D"/>
    <w:rsid w:val="00745AA4"/>
    <w:rsid w:val="00747680"/>
    <w:rsid w:val="0075003C"/>
    <w:rsid w:val="00750819"/>
    <w:rsid w:val="00754C4F"/>
    <w:rsid w:val="00756ABB"/>
    <w:rsid w:val="00762CCC"/>
    <w:rsid w:val="007659BC"/>
    <w:rsid w:val="00766BC3"/>
    <w:rsid w:val="007672D0"/>
    <w:rsid w:val="007674E0"/>
    <w:rsid w:val="00777BA4"/>
    <w:rsid w:val="00780CBD"/>
    <w:rsid w:val="00781B4C"/>
    <w:rsid w:val="00781E11"/>
    <w:rsid w:val="007827AA"/>
    <w:rsid w:val="00785F32"/>
    <w:rsid w:val="00786529"/>
    <w:rsid w:val="00786DA8"/>
    <w:rsid w:val="0078713F"/>
    <w:rsid w:val="007877EF"/>
    <w:rsid w:val="00792887"/>
    <w:rsid w:val="007940B1"/>
    <w:rsid w:val="007963F0"/>
    <w:rsid w:val="007967B3"/>
    <w:rsid w:val="007A2115"/>
    <w:rsid w:val="007A219A"/>
    <w:rsid w:val="007A3A3D"/>
    <w:rsid w:val="007A5B02"/>
    <w:rsid w:val="007B01D5"/>
    <w:rsid w:val="007B1DF2"/>
    <w:rsid w:val="007B1FD3"/>
    <w:rsid w:val="007B436A"/>
    <w:rsid w:val="007B4C4A"/>
    <w:rsid w:val="007B577C"/>
    <w:rsid w:val="007B5E62"/>
    <w:rsid w:val="007B634B"/>
    <w:rsid w:val="007C07F4"/>
    <w:rsid w:val="007C07FB"/>
    <w:rsid w:val="007C161B"/>
    <w:rsid w:val="007C1E4E"/>
    <w:rsid w:val="007C277F"/>
    <w:rsid w:val="007C32A1"/>
    <w:rsid w:val="007C40B7"/>
    <w:rsid w:val="007C4CB5"/>
    <w:rsid w:val="007C6022"/>
    <w:rsid w:val="007C62F3"/>
    <w:rsid w:val="007C7003"/>
    <w:rsid w:val="007C72C9"/>
    <w:rsid w:val="007C7AC6"/>
    <w:rsid w:val="007C7BBC"/>
    <w:rsid w:val="007C7E05"/>
    <w:rsid w:val="007D060E"/>
    <w:rsid w:val="007D1508"/>
    <w:rsid w:val="007D22D2"/>
    <w:rsid w:val="007D2BE4"/>
    <w:rsid w:val="007D2E05"/>
    <w:rsid w:val="007D2EDB"/>
    <w:rsid w:val="007D430F"/>
    <w:rsid w:val="007D4B43"/>
    <w:rsid w:val="007D5BA9"/>
    <w:rsid w:val="007E01DC"/>
    <w:rsid w:val="007E01F2"/>
    <w:rsid w:val="007E0B07"/>
    <w:rsid w:val="007E12C1"/>
    <w:rsid w:val="007E2EC8"/>
    <w:rsid w:val="007E4031"/>
    <w:rsid w:val="007E56D7"/>
    <w:rsid w:val="007E5D88"/>
    <w:rsid w:val="007E63B3"/>
    <w:rsid w:val="007F02C5"/>
    <w:rsid w:val="007F4A7A"/>
    <w:rsid w:val="007F58CE"/>
    <w:rsid w:val="007F5AA3"/>
    <w:rsid w:val="00801AF6"/>
    <w:rsid w:val="0080397C"/>
    <w:rsid w:val="00803C9C"/>
    <w:rsid w:val="00806C96"/>
    <w:rsid w:val="00811EF9"/>
    <w:rsid w:val="00811FD3"/>
    <w:rsid w:val="00814BD3"/>
    <w:rsid w:val="008201AD"/>
    <w:rsid w:val="00821CAA"/>
    <w:rsid w:val="0082245B"/>
    <w:rsid w:val="00823A00"/>
    <w:rsid w:val="00823FAD"/>
    <w:rsid w:val="00825585"/>
    <w:rsid w:val="008271D3"/>
    <w:rsid w:val="00830A16"/>
    <w:rsid w:val="00831F34"/>
    <w:rsid w:val="008336E8"/>
    <w:rsid w:val="00834A73"/>
    <w:rsid w:val="00835BD5"/>
    <w:rsid w:val="00836E81"/>
    <w:rsid w:val="008407DA"/>
    <w:rsid w:val="00841E65"/>
    <w:rsid w:val="0084347E"/>
    <w:rsid w:val="00843758"/>
    <w:rsid w:val="00847230"/>
    <w:rsid w:val="008502A4"/>
    <w:rsid w:val="00854873"/>
    <w:rsid w:val="00854D32"/>
    <w:rsid w:val="008555DC"/>
    <w:rsid w:val="0085781F"/>
    <w:rsid w:val="00861738"/>
    <w:rsid w:val="00861C38"/>
    <w:rsid w:val="00862690"/>
    <w:rsid w:val="00865A24"/>
    <w:rsid w:val="00867819"/>
    <w:rsid w:val="0087216E"/>
    <w:rsid w:val="008726AE"/>
    <w:rsid w:val="00876BA3"/>
    <w:rsid w:val="00877433"/>
    <w:rsid w:val="0088401E"/>
    <w:rsid w:val="0088475D"/>
    <w:rsid w:val="00884BC6"/>
    <w:rsid w:val="00884C9F"/>
    <w:rsid w:val="00887BDF"/>
    <w:rsid w:val="00887BF0"/>
    <w:rsid w:val="00894755"/>
    <w:rsid w:val="008958BB"/>
    <w:rsid w:val="008974C8"/>
    <w:rsid w:val="008A100B"/>
    <w:rsid w:val="008A18E8"/>
    <w:rsid w:val="008A71FA"/>
    <w:rsid w:val="008B0F76"/>
    <w:rsid w:val="008B38A8"/>
    <w:rsid w:val="008B6FC2"/>
    <w:rsid w:val="008C2FE9"/>
    <w:rsid w:val="008C307A"/>
    <w:rsid w:val="008C3140"/>
    <w:rsid w:val="008C39D9"/>
    <w:rsid w:val="008C489B"/>
    <w:rsid w:val="008C6C73"/>
    <w:rsid w:val="008D1598"/>
    <w:rsid w:val="008D32AE"/>
    <w:rsid w:val="008D48F1"/>
    <w:rsid w:val="008D4903"/>
    <w:rsid w:val="008D601B"/>
    <w:rsid w:val="008D7BA6"/>
    <w:rsid w:val="008E3051"/>
    <w:rsid w:val="008E36DD"/>
    <w:rsid w:val="008E3CEA"/>
    <w:rsid w:val="008E5596"/>
    <w:rsid w:val="008E587F"/>
    <w:rsid w:val="008E64A5"/>
    <w:rsid w:val="008E7AE1"/>
    <w:rsid w:val="008F02FE"/>
    <w:rsid w:val="008F12FC"/>
    <w:rsid w:val="008F2528"/>
    <w:rsid w:val="008F3499"/>
    <w:rsid w:val="008F436F"/>
    <w:rsid w:val="008F479C"/>
    <w:rsid w:val="008F642D"/>
    <w:rsid w:val="008F7C20"/>
    <w:rsid w:val="00900CAA"/>
    <w:rsid w:val="00902BD2"/>
    <w:rsid w:val="00902C5D"/>
    <w:rsid w:val="009031EA"/>
    <w:rsid w:val="00903460"/>
    <w:rsid w:val="0090478D"/>
    <w:rsid w:val="00906A2C"/>
    <w:rsid w:val="0090770A"/>
    <w:rsid w:val="00907C51"/>
    <w:rsid w:val="00910511"/>
    <w:rsid w:val="009121F1"/>
    <w:rsid w:val="0091424E"/>
    <w:rsid w:val="00915BF7"/>
    <w:rsid w:val="0091611E"/>
    <w:rsid w:val="00916D3A"/>
    <w:rsid w:val="009177CF"/>
    <w:rsid w:val="00917EAA"/>
    <w:rsid w:val="00920EF6"/>
    <w:rsid w:val="00924B1D"/>
    <w:rsid w:val="0092684F"/>
    <w:rsid w:val="00926AAE"/>
    <w:rsid w:val="00931465"/>
    <w:rsid w:val="00932B75"/>
    <w:rsid w:val="00934221"/>
    <w:rsid w:val="00934678"/>
    <w:rsid w:val="00935654"/>
    <w:rsid w:val="00936323"/>
    <w:rsid w:val="00936BA4"/>
    <w:rsid w:val="00940B48"/>
    <w:rsid w:val="0094286F"/>
    <w:rsid w:val="009460E6"/>
    <w:rsid w:val="009462DF"/>
    <w:rsid w:val="00946EDA"/>
    <w:rsid w:val="00947A00"/>
    <w:rsid w:val="0095004E"/>
    <w:rsid w:val="009528D9"/>
    <w:rsid w:val="00952E7A"/>
    <w:rsid w:val="00953810"/>
    <w:rsid w:val="00955725"/>
    <w:rsid w:val="00955FD4"/>
    <w:rsid w:val="0095662A"/>
    <w:rsid w:val="00956A6A"/>
    <w:rsid w:val="00956F19"/>
    <w:rsid w:val="00960E02"/>
    <w:rsid w:val="009620EF"/>
    <w:rsid w:val="00962F76"/>
    <w:rsid w:val="00965611"/>
    <w:rsid w:val="009664CB"/>
    <w:rsid w:val="0096699A"/>
    <w:rsid w:val="00970B73"/>
    <w:rsid w:val="009746D4"/>
    <w:rsid w:val="009758DB"/>
    <w:rsid w:val="009777BE"/>
    <w:rsid w:val="00977AD3"/>
    <w:rsid w:val="009805C7"/>
    <w:rsid w:val="0098096A"/>
    <w:rsid w:val="00982EDF"/>
    <w:rsid w:val="00983FF7"/>
    <w:rsid w:val="00984DE3"/>
    <w:rsid w:val="00990399"/>
    <w:rsid w:val="00990DA2"/>
    <w:rsid w:val="00991B71"/>
    <w:rsid w:val="00992A2C"/>
    <w:rsid w:val="009942A7"/>
    <w:rsid w:val="00994686"/>
    <w:rsid w:val="00997204"/>
    <w:rsid w:val="00997296"/>
    <w:rsid w:val="009A031D"/>
    <w:rsid w:val="009A05E0"/>
    <w:rsid w:val="009A0966"/>
    <w:rsid w:val="009A459E"/>
    <w:rsid w:val="009A5B52"/>
    <w:rsid w:val="009A73F2"/>
    <w:rsid w:val="009B14D0"/>
    <w:rsid w:val="009B2629"/>
    <w:rsid w:val="009B39B0"/>
    <w:rsid w:val="009C1699"/>
    <w:rsid w:val="009C1D5A"/>
    <w:rsid w:val="009C2E35"/>
    <w:rsid w:val="009C33E7"/>
    <w:rsid w:val="009C433C"/>
    <w:rsid w:val="009C4C67"/>
    <w:rsid w:val="009C58E2"/>
    <w:rsid w:val="009C5B93"/>
    <w:rsid w:val="009C775C"/>
    <w:rsid w:val="009D0100"/>
    <w:rsid w:val="009D0F72"/>
    <w:rsid w:val="009D7649"/>
    <w:rsid w:val="009E5A85"/>
    <w:rsid w:val="009F12AA"/>
    <w:rsid w:val="009F1685"/>
    <w:rsid w:val="009F1DB0"/>
    <w:rsid w:val="009F2665"/>
    <w:rsid w:val="009F2DDF"/>
    <w:rsid w:val="009F2F98"/>
    <w:rsid w:val="009F31AD"/>
    <w:rsid w:val="009F6D0D"/>
    <w:rsid w:val="00A001A6"/>
    <w:rsid w:val="00A004DA"/>
    <w:rsid w:val="00A0197D"/>
    <w:rsid w:val="00A0214F"/>
    <w:rsid w:val="00A037A6"/>
    <w:rsid w:val="00A0549A"/>
    <w:rsid w:val="00A05D06"/>
    <w:rsid w:val="00A127FA"/>
    <w:rsid w:val="00A14E04"/>
    <w:rsid w:val="00A164D5"/>
    <w:rsid w:val="00A1671A"/>
    <w:rsid w:val="00A1720D"/>
    <w:rsid w:val="00A213C7"/>
    <w:rsid w:val="00A214B7"/>
    <w:rsid w:val="00A21A5F"/>
    <w:rsid w:val="00A2369D"/>
    <w:rsid w:val="00A2376C"/>
    <w:rsid w:val="00A242C4"/>
    <w:rsid w:val="00A24CFF"/>
    <w:rsid w:val="00A252BA"/>
    <w:rsid w:val="00A25422"/>
    <w:rsid w:val="00A26F48"/>
    <w:rsid w:val="00A27542"/>
    <w:rsid w:val="00A27DA8"/>
    <w:rsid w:val="00A300D3"/>
    <w:rsid w:val="00A307C6"/>
    <w:rsid w:val="00A31C30"/>
    <w:rsid w:val="00A31F5C"/>
    <w:rsid w:val="00A320FD"/>
    <w:rsid w:val="00A32EE0"/>
    <w:rsid w:val="00A341FF"/>
    <w:rsid w:val="00A3681D"/>
    <w:rsid w:val="00A3747E"/>
    <w:rsid w:val="00A376A4"/>
    <w:rsid w:val="00A4134D"/>
    <w:rsid w:val="00A418D4"/>
    <w:rsid w:val="00A440BF"/>
    <w:rsid w:val="00A44B0C"/>
    <w:rsid w:val="00A45F9B"/>
    <w:rsid w:val="00A5016B"/>
    <w:rsid w:val="00A503EE"/>
    <w:rsid w:val="00A52AAD"/>
    <w:rsid w:val="00A53361"/>
    <w:rsid w:val="00A55295"/>
    <w:rsid w:val="00A5529E"/>
    <w:rsid w:val="00A57071"/>
    <w:rsid w:val="00A60366"/>
    <w:rsid w:val="00A6141E"/>
    <w:rsid w:val="00A61688"/>
    <w:rsid w:val="00A620D8"/>
    <w:rsid w:val="00A643A9"/>
    <w:rsid w:val="00A645FF"/>
    <w:rsid w:val="00A648AE"/>
    <w:rsid w:val="00A64B47"/>
    <w:rsid w:val="00A65BA5"/>
    <w:rsid w:val="00A65DC8"/>
    <w:rsid w:val="00A72575"/>
    <w:rsid w:val="00A72EB3"/>
    <w:rsid w:val="00A736E9"/>
    <w:rsid w:val="00A74B51"/>
    <w:rsid w:val="00A76029"/>
    <w:rsid w:val="00A7785F"/>
    <w:rsid w:val="00A800D9"/>
    <w:rsid w:val="00A82772"/>
    <w:rsid w:val="00A829EF"/>
    <w:rsid w:val="00A838BE"/>
    <w:rsid w:val="00A85352"/>
    <w:rsid w:val="00A92E10"/>
    <w:rsid w:val="00A93C85"/>
    <w:rsid w:val="00A93D8D"/>
    <w:rsid w:val="00A96BA8"/>
    <w:rsid w:val="00AA01FA"/>
    <w:rsid w:val="00AA055A"/>
    <w:rsid w:val="00AA09F4"/>
    <w:rsid w:val="00AA0CA4"/>
    <w:rsid w:val="00AA38BF"/>
    <w:rsid w:val="00AA44DD"/>
    <w:rsid w:val="00AA60FB"/>
    <w:rsid w:val="00AA6662"/>
    <w:rsid w:val="00AA6ECE"/>
    <w:rsid w:val="00AA7E7B"/>
    <w:rsid w:val="00AB2750"/>
    <w:rsid w:val="00AB38F6"/>
    <w:rsid w:val="00AB645C"/>
    <w:rsid w:val="00AB6DBB"/>
    <w:rsid w:val="00AC0F9C"/>
    <w:rsid w:val="00AC1392"/>
    <w:rsid w:val="00AC1410"/>
    <w:rsid w:val="00AC3E3F"/>
    <w:rsid w:val="00AC4353"/>
    <w:rsid w:val="00AC7720"/>
    <w:rsid w:val="00AC7B89"/>
    <w:rsid w:val="00AC7F87"/>
    <w:rsid w:val="00AD104A"/>
    <w:rsid w:val="00AD24BE"/>
    <w:rsid w:val="00AD27EE"/>
    <w:rsid w:val="00AD34FA"/>
    <w:rsid w:val="00AD461A"/>
    <w:rsid w:val="00AD48A0"/>
    <w:rsid w:val="00AD55E3"/>
    <w:rsid w:val="00AD66F2"/>
    <w:rsid w:val="00AE02F8"/>
    <w:rsid w:val="00AE03C9"/>
    <w:rsid w:val="00AE1AAC"/>
    <w:rsid w:val="00AE309E"/>
    <w:rsid w:val="00AE3706"/>
    <w:rsid w:val="00AE6DA9"/>
    <w:rsid w:val="00AE7F49"/>
    <w:rsid w:val="00AF08D5"/>
    <w:rsid w:val="00AF166A"/>
    <w:rsid w:val="00AF32BE"/>
    <w:rsid w:val="00AF551B"/>
    <w:rsid w:val="00AF729E"/>
    <w:rsid w:val="00AF7AF6"/>
    <w:rsid w:val="00B0085B"/>
    <w:rsid w:val="00B03203"/>
    <w:rsid w:val="00B041B3"/>
    <w:rsid w:val="00B05027"/>
    <w:rsid w:val="00B0545F"/>
    <w:rsid w:val="00B05B7B"/>
    <w:rsid w:val="00B06B8B"/>
    <w:rsid w:val="00B0775C"/>
    <w:rsid w:val="00B1033B"/>
    <w:rsid w:val="00B1198C"/>
    <w:rsid w:val="00B12BDD"/>
    <w:rsid w:val="00B14B8E"/>
    <w:rsid w:val="00B25119"/>
    <w:rsid w:val="00B251E3"/>
    <w:rsid w:val="00B25614"/>
    <w:rsid w:val="00B26870"/>
    <w:rsid w:val="00B27472"/>
    <w:rsid w:val="00B35B66"/>
    <w:rsid w:val="00B40E02"/>
    <w:rsid w:val="00B425D7"/>
    <w:rsid w:val="00B439DB"/>
    <w:rsid w:val="00B445B1"/>
    <w:rsid w:val="00B45479"/>
    <w:rsid w:val="00B45CE6"/>
    <w:rsid w:val="00B465F1"/>
    <w:rsid w:val="00B47ED8"/>
    <w:rsid w:val="00B5096A"/>
    <w:rsid w:val="00B50FD6"/>
    <w:rsid w:val="00B514E7"/>
    <w:rsid w:val="00B5242F"/>
    <w:rsid w:val="00B528E4"/>
    <w:rsid w:val="00B53009"/>
    <w:rsid w:val="00B53D36"/>
    <w:rsid w:val="00B54065"/>
    <w:rsid w:val="00B560B6"/>
    <w:rsid w:val="00B56793"/>
    <w:rsid w:val="00B577B0"/>
    <w:rsid w:val="00B61F1A"/>
    <w:rsid w:val="00B62538"/>
    <w:rsid w:val="00B632B7"/>
    <w:rsid w:val="00B63C73"/>
    <w:rsid w:val="00B66711"/>
    <w:rsid w:val="00B66809"/>
    <w:rsid w:val="00B66918"/>
    <w:rsid w:val="00B7112F"/>
    <w:rsid w:val="00B71E62"/>
    <w:rsid w:val="00B72CA6"/>
    <w:rsid w:val="00B74301"/>
    <w:rsid w:val="00B74331"/>
    <w:rsid w:val="00B75568"/>
    <w:rsid w:val="00B7594B"/>
    <w:rsid w:val="00B764C7"/>
    <w:rsid w:val="00B765D0"/>
    <w:rsid w:val="00B777E8"/>
    <w:rsid w:val="00B80725"/>
    <w:rsid w:val="00B80FCF"/>
    <w:rsid w:val="00B819AA"/>
    <w:rsid w:val="00B82458"/>
    <w:rsid w:val="00B82B0A"/>
    <w:rsid w:val="00B83EE8"/>
    <w:rsid w:val="00B83FB8"/>
    <w:rsid w:val="00B850B9"/>
    <w:rsid w:val="00B875EC"/>
    <w:rsid w:val="00B87B22"/>
    <w:rsid w:val="00B87EF6"/>
    <w:rsid w:val="00B93A73"/>
    <w:rsid w:val="00B95703"/>
    <w:rsid w:val="00B95CBE"/>
    <w:rsid w:val="00B95E2E"/>
    <w:rsid w:val="00B966BF"/>
    <w:rsid w:val="00B967C6"/>
    <w:rsid w:val="00B97152"/>
    <w:rsid w:val="00B97518"/>
    <w:rsid w:val="00BA0FE9"/>
    <w:rsid w:val="00BA238F"/>
    <w:rsid w:val="00BA581B"/>
    <w:rsid w:val="00BA5E5D"/>
    <w:rsid w:val="00BA5EC8"/>
    <w:rsid w:val="00BB3850"/>
    <w:rsid w:val="00BB522C"/>
    <w:rsid w:val="00BB56A8"/>
    <w:rsid w:val="00BB7AED"/>
    <w:rsid w:val="00BB7DA6"/>
    <w:rsid w:val="00BC04EB"/>
    <w:rsid w:val="00BC080D"/>
    <w:rsid w:val="00BC13FE"/>
    <w:rsid w:val="00BC197C"/>
    <w:rsid w:val="00BC21DB"/>
    <w:rsid w:val="00BC2305"/>
    <w:rsid w:val="00BC39BF"/>
    <w:rsid w:val="00BC420B"/>
    <w:rsid w:val="00BC4383"/>
    <w:rsid w:val="00BC4BEB"/>
    <w:rsid w:val="00BD0CF1"/>
    <w:rsid w:val="00BD4DBB"/>
    <w:rsid w:val="00BD4E1A"/>
    <w:rsid w:val="00BD68CC"/>
    <w:rsid w:val="00BD6F80"/>
    <w:rsid w:val="00BD730F"/>
    <w:rsid w:val="00BE0E8D"/>
    <w:rsid w:val="00BE1A4D"/>
    <w:rsid w:val="00BE2DF1"/>
    <w:rsid w:val="00BE3186"/>
    <w:rsid w:val="00BE3F29"/>
    <w:rsid w:val="00BE463E"/>
    <w:rsid w:val="00BE76A8"/>
    <w:rsid w:val="00BE7CC5"/>
    <w:rsid w:val="00BF05C4"/>
    <w:rsid w:val="00BF0B16"/>
    <w:rsid w:val="00BF19CD"/>
    <w:rsid w:val="00BF28FC"/>
    <w:rsid w:val="00BF2C6D"/>
    <w:rsid w:val="00BF43A6"/>
    <w:rsid w:val="00BF5A88"/>
    <w:rsid w:val="00BF634C"/>
    <w:rsid w:val="00BF6A5F"/>
    <w:rsid w:val="00BF6CF3"/>
    <w:rsid w:val="00C0028B"/>
    <w:rsid w:val="00C0180F"/>
    <w:rsid w:val="00C021C2"/>
    <w:rsid w:val="00C02665"/>
    <w:rsid w:val="00C033C6"/>
    <w:rsid w:val="00C049B1"/>
    <w:rsid w:val="00C04EE3"/>
    <w:rsid w:val="00C06178"/>
    <w:rsid w:val="00C0674B"/>
    <w:rsid w:val="00C133DD"/>
    <w:rsid w:val="00C240C1"/>
    <w:rsid w:val="00C25A49"/>
    <w:rsid w:val="00C271D3"/>
    <w:rsid w:val="00C32478"/>
    <w:rsid w:val="00C32708"/>
    <w:rsid w:val="00C34233"/>
    <w:rsid w:val="00C3423E"/>
    <w:rsid w:val="00C35226"/>
    <w:rsid w:val="00C371E0"/>
    <w:rsid w:val="00C375ED"/>
    <w:rsid w:val="00C42511"/>
    <w:rsid w:val="00C442B4"/>
    <w:rsid w:val="00C458C5"/>
    <w:rsid w:val="00C51F64"/>
    <w:rsid w:val="00C54349"/>
    <w:rsid w:val="00C543C3"/>
    <w:rsid w:val="00C60942"/>
    <w:rsid w:val="00C60DD9"/>
    <w:rsid w:val="00C61B27"/>
    <w:rsid w:val="00C6201F"/>
    <w:rsid w:val="00C6234B"/>
    <w:rsid w:val="00C62890"/>
    <w:rsid w:val="00C62FF0"/>
    <w:rsid w:val="00C645D6"/>
    <w:rsid w:val="00C658BE"/>
    <w:rsid w:val="00C67439"/>
    <w:rsid w:val="00C7002C"/>
    <w:rsid w:val="00C748D1"/>
    <w:rsid w:val="00C76BDA"/>
    <w:rsid w:val="00C76C6E"/>
    <w:rsid w:val="00C80534"/>
    <w:rsid w:val="00C80553"/>
    <w:rsid w:val="00C81B46"/>
    <w:rsid w:val="00C82FF7"/>
    <w:rsid w:val="00C8374E"/>
    <w:rsid w:val="00C870B1"/>
    <w:rsid w:val="00C91149"/>
    <w:rsid w:val="00C92751"/>
    <w:rsid w:val="00C92EF6"/>
    <w:rsid w:val="00C94EFE"/>
    <w:rsid w:val="00C95064"/>
    <w:rsid w:val="00C96CCC"/>
    <w:rsid w:val="00CA2AE0"/>
    <w:rsid w:val="00CA2E14"/>
    <w:rsid w:val="00CA3018"/>
    <w:rsid w:val="00CA3B33"/>
    <w:rsid w:val="00CA4D87"/>
    <w:rsid w:val="00CA574A"/>
    <w:rsid w:val="00CA61F0"/>
    <w:rsid w:val="00CA6F90"/>
    <w:rsid w:val="00CB05F8"/>
    <w:rsid w:val="00CB1D98"/>
    <w:rsid w:val="00CB66E1"/>
    <w:rsid w:val="00CB6CAF"/>
    <w:rsid w:val="00CC1F09"/>
    <w:rsid w:val="00CC2A40"/>
    <w:rsid w:val="00CC3260"/>
    <w:rsid w:val="00CC43AA"/>
    <w:rsid w:val="00CC7E73"/>
    <w:rsid w:val="00CD5529"/>
    <w:rsid w:val="00CD5EE8"/>
    <w:rsid w:val="00CD7FEF"/>
    <w:rsid w:val="00CE110E"/>
    <w:rsid w:val="00CE209C"/>
    <w:rsid w:val="00CF02D8"/>
    <w:rsid w:val="00CF152F"/>
    <w:rsid w:val="00CF1614"/>
    <w:rsid w:val="00CF20EE"/>
    <w:rsid w:val="00CF2A40"/>
    <w:rsid w:val="00CF30F8"/>
    <w:rsid w:val="00CF5B2E"/>
    <w:rsid w:val="00CF7116"/>
    <w:rsid w:val="00D0021E"/>
    <w:rsid w:val="00D00906"/>
    <w:rsid w:val="00D012D0"/>
    <w:rsid w:val="00D01DEE"/>
    <w:rsid w:val="00D0263B"/>
    <w:rsid w:val="00D05931"/>
    <w:rsid w:val="00D07C71"/>
    <w:rsid w:val="00D10017"/>
    <w:rsid w:val="00D101D2"/>
    <w:rsid w:val="00D10971"/>
    <w:rsid w:val="00D10DD1"/>
    <w:rsid w:val="00D12241"/>
    <w:rsid w:val="00D12E14"/>
    <w:rsid w:val="00D138F8"/>
    <w:rsid w:val="00D143A3"/>
    <w:rsid w:val="00D14806"/>
    <w:rsid w:val="00D16A58"/>
    <w:rsid w:val="00D21158"/>
    <w:rsid w:val="00D2140F"/>
    <w:rsid w:val="00D2182C"/>
    <w:rsid w:val="00D23502"/>
    <w:rsid w:val="00D24D2F"/>
    <w:rsid w:val="00D25A25"/>
    <w:rsid w:val="00D27C79"/>
    <w:rsid w:val="00D32413"/>
    <w:rsid w:val="00D353CF"/>
    <w:rsid w:val="00D35855"/>
    <w:rsid w:val="00D35BB6"/>
    <w:rsid w:val="00D37931"/>
    <w:rsid w:val="00D421D8"/>
    <w:rsid w:val="00D44B9C"/>
    <w:rsid w:val="00D45863"/>
    <w:rsid w:val="00D46980"/>
    <w:rsid w:val="00D53D3F"/>
    <w:rsid w:val="00D5479F"/>
    <w:rsid w:val="00D55A5C"/>
    <w:rsid w:val="00D5620C"/>
    <w:rsid w:val="00D60BC4"/>
    <w:rsid w:val="00D616E0"/>
    <w:rsid w:val="00D61AB7"/>
    <w:rsid w:val="00D6325F"/>
    <w:rsid w:val="00D65109"/>
    <w:rsid w:val="00D66191"/>
    <w:rsid w:val="00D66F0B"/>
    <w:rsid w:val="00D708EA"/>
    <w:rsid w:val="00D71AFD"/>
    <w:rsid w:val="00D73463"/>
    <w:rsid w:val="00D73A6D"/>
    <w:rsid w:val="00D74758"/>
    <w:rsid w:val="00D74985"/>
    <w:rsid w:val="00D770CD"/>
    <w:rsid w:val="00D8182F"/>
    <w:rsid w:val="00D83201"/>
    <w:rsid w:val="00D84CEA"/>
    <w:rsid w:val="00D8642F"/>
    <w:rsid w:val="00D87458"/>
    <w:rsid w:val="00D906E1"/>
    <w:rsid w:val="00D90ED4"/>
    <w:rsid w:val="00D91FFA"/>
    <w:rsid w:val="00D92992"/>
    <w:rsid w:val="00D92B53"/>
    <w:rsid w:val="00D93054"/>
    <w:rsid w:val="00D93573"/>
    <w:rsid w:val="00D93B26"/>
    <w:rsid w:val="00D94FAA"/>
    <w:rsid w:val="00D959E9"/>
    <w:rsid w:val="00D96482"/>
    <w:rsid w:val="00D971F3"/>
    <w:rsid w:val="00DA064D"/>
    <w:rsid w:val="00DA32C6"/>
    <w:rsid w:val="00DA3E4A"/>
    <w:rsid w:val="00DA43BB"/>
    <w:rsid w:val="00DA4A83"/>
    <w:rsid w:val="00DA779C"/>
    <w:rsid w:val="00DB005A"/>
    <w:rsid w:val="00DB03B7"/>
    <w:rsid w:val="00DB07F6"/>
    <w:rsid w:val="00DB0FBE"/>
    <w:rsid w:val="00DB1852"/>
    <w:rsid w:val="00DB1D4E"/>
    <w:rsid w:val="00DB4E3F"/>
    <w:rsid w:val="00DB6D05"/>
    <w:rsid w:val="00DC0600"/>
    <w:rsid w:val="00DC0FC8"/>
    <w:rsid w:val="00DC1B36"/>
    <w:rsid w:val="00DC1FB1"/>
    <w:rsid w:val="00DC588B"/>
    <w:rsid w:val="00DC6CBE"/>
    <w:rsid w:val="00DD01BE"/>
    <w:rsid w:val="00DD119D"/>
    <w:rsid w:val="00DD1658"/>
    <w:rsid w:val="00DD1B26"/>
    <w:rsid w:val="00DD301A"/>
    <w:rsid w:val="00DD4CB4"/>
    <w:rsid w:val="00DD5F0A"/>
    <w:rsid w:val="00DD6D38"/>
    <w:rsid w:val="00DD79A1"/>
    <w:rsid w:val="00DE032F"/>
    <w:rsid w:val="00DE34A7"/>
    <w:rsid w:val="00DE5872"/>
    <w:rsid w:val="00DE7B51"/>
    <w:rsid w:val="00DF17F6"/>
    <w:rsid w:val="00DF31B2"/>
    <w:rsid w:val="00DF31D7"/>
    <w:rsid w:val="00DF370A"/>
    <w:rsid w:val="00DF56DD"/>
    <w:rsid w:val="00DF5789"/>
    <w:rsid w:val="00DF69EE"/>
    <w:rsid w:val="00DF6C88"/>
    <w:rsid w:val="00DF6EF4"/>
    <w:rsid w:val="00E01B4E"/>
    <w:rsid w:val="00E02753"/>
    <w:rsid w:val="00E0428C"/>
    <w:rsid w:val="00E05064"/>
    <w:rsid w:val="00E05E97"/>
    <w:rsid w:val="00E06DF3"/>
    <w:rsid w:val="00E07792"/>
    <w:rsid w:val="00E104C6"/>
    <w:rsid w:val="00E105CD"/>
    <w:rsid w:val="00E1178E"/>
    <w:rsid w:val="00E13064"/>
    <w:rsid w:val="00E1357F"/>
    <w:rsid w:val="00E2003E"/>
    <w:rsid w:val="00E24358"/>
    <w:rsid w:val="00E25866"/>
    <w:rsid w:val="00E25F4A"/>
    <w:rsid w:val="00E27F32"/>
    <w:rsid w:val="00E30696"/>
    <w:rsid w:val="00E31172"/>
    <w:rsid w:val="00E32148"/>
    <w:rsid w:val="00E34619"/>
    <w:rsid w:val="00E347D8"/>
    <w:rsid w:val="00E34B2D"/>
    <w:rsid w:val="00E3679C"/>
    <w:rsid w:val="00E37D96"/>
    <w:rsid w:val="00E419CA"/>
    <w:rsid w:val="00E42116"/>
    <w:rsid w:val="00E4336B"/>
    <w:rsid w:val="00E44117"/>
    <w:rsid w:val="00E4472D"/>
    <w:rsid w:val="00E44C93"/>
    <w:rsid w:val="00E456C5"/>
    <w:rsid w:val="00E461B5"/>
    <w:rsid w:val="00E46E8D"/>
    <w:rsid w:val="00E471FB"/>
    <w:rsid w:val="00E47EC2"/>
    <w:rsid w:val="00E508BE"/>
    <w:rsid w:val="00E5128A"/>
    <w:rsid w:val="00E51310"/>
    <w:rsid w:val="00E55583"/>
    <w:rsid w:val="00E5602C"/>
    <w:rsid w:val="00E560C0"/>
    <w:rsid w:val="00E62D7F"/>
    <w:rsid w:val="00E6671A"/>
    <w:rsid w:val="00E7262D"/>
    <w:rsid w:val="00E73048"/>
    <w:rsid w:val="00E7510E"/>
    <w:rsid w:val="00E758C0"/>
    <w:rsid w:val="00E75BB7"/>
    <w:rsid w:val="00E81101"/>
    <w:rsid w:val="00E83D67"/>
    <w:rsid w:val="00E85871"/>
    <w:rsid w:val="00E87A11"/>
    <w:rsid w:val="00E904F7"/>
    <w:rsid w:val="00E910F9"/>
    <w:rsid w:val="00E92FBD"/>
    <w:rsid w:val="00E9354D"/>
    <w:rsid w:val="00E965FF"/>
    <w:rsid w:val="00EA0951"/>
    <w:rsid w:val="00EA0FC8"/>
    <w:rsid w:val="00EA1275"/>
    <w:rsid w:val="00EA28D1"/>
    <w:rsid w:val="00EA5AEB"/>
    <w:rsid w:val="00EA6303"/>
    <w:rsid w:val="00EA7986"/>
    <w:rsid w:val="00EB2749"/>
    <w:rsid w:val="00EB2DE6"/>
    <w:rsid w:val="00EB4273"/>
    <w:rsid w:val="00EB4D5C"/>
    <w:rsid w:val="00EB5C1D"/>
    <w:rsid w:val="00EB7179"/>
    <w:rsid w:val="00EB792F"/>
    <w:rsid w:val="00EC2985"/>
    <w:rsid w:val="00EC69A2"/>
    <w:rsid w:val="00EC76E8"/>
    <w:rsid w:val="00EC7A69"/>
    <w:rsid w:val="00ED1BAE"/>
    <w:rsid w:val="00ED2D40"/>
    <w:rsid w:val="00ED2F8C"/>
    <w:rsid w:val="00ED461E"/>
    <w:rsid w:val="00EE3569"/>
    <w:rsid w:val="00EE389F"/>
    <w:rsid w:val="00EE38BB"/>
    <w:rsid w:val="00EE4A1C"/>
    <w:rsid w:val="00EF2C99"/>
    <w:rsid w:val="00EF3002"/>
    <w:rsid w:val="00EF332E"/>
    <w:rsid w:val="00EF78E3"/>
    <w:rsid w:val="00F00CFB"/>
    <w:rsid w:val="00F0201B"/>
    <w:rsid w:val="00F022A8"/>
    <w:rsid w:val="00F02596"/>
    <w:rsid w:val="00F029E9"/>
    <w:rsid w:val="00F05DC2"/>
    <w:rsid w:val="00F06F8C"/>
    <w:rsid w:val="00F07789"/>
    <w:rsid w:val="00F1169B"/>
    <w:rsid w:val="00F14042"/>
    <w:rsid w:val="00F154F2"/>
    <w:rsid w:val="00F1585E"/>
    <w:rsid w:val="00F15939"/>
    <w:rsid w:val="00F15A3A"/>
    <w:rsid w:val="00F15C91"/>
    <w:rsid w:val="00F16E63"/>
    <w:rsid w:val="00F16F42"/>
    <w:rsid w:val="00F2025A"/>
    <w:rsid w:val="00F2035B"/>
    <w:rsid w:val="00F21998"/>
    <w:rsid w:val="00F21A46"/>
    <w:rsid w:val="00F2266C"/>
    <w:rsid w:val="00F23BC9"/>
    <w:rsid w:val="00F23DED"/>
    <w:rsid w:val="00F26724"/>
    <w:rsid w:val="00F27087"/>
    <w:rsid w:val="00F27AD7"/>
    <w:rsid w:val="00F31E76"/>
    <w:rsid w:val="00F3621A"/>
    <w:rsid w:val="00F36AC9"/>
    <w:rsid w:val="00F3781E"/>
    <w:rsid w:val="00F37A68"/>
    <w:rsid w:val="00F4129D"/>
    <w:rsid w:val="00F422F0"/>
    <w:rsid w:val="00F42438"/>
    <w:rsid w:val="00F4306B"/>
    <w:rsid w:val="00F44222"/>
    <w:rsid w:val="00F471DF"/>
    <w:rsid w:val="00F50424"/>
    <w:rsid w:val="00F50B46"/>
    <w:rsid w:val="00F525AC"/>
    <w:rsid w:val="00F52D7C"/>
    <w:rsid w:val="00F54E4F"/>
    <w:rsid w:val="00F550A4"/>
    <w:rsid w:val="00F56315"/>
    <w:rsid w:val="00F56ACF"/>
    <w:rsid w:val="00F5749B"/>
    <w:rsid w:val="00F6254F"/>
    <w:rsid w:val="00F62B02"/>
    <w:rsid w:val="00F63CBE"/>
    <w:rsid w:val="00F648BC"/>
    <w:rsid w:val="00F6537E"/>
    <w:rsid w:val="00F65474"/>
    <w:rsid w:val="00F71500"/>
    <w:rsid w:val="00F76640"/>
    <w:rsid w:val="00F768E8"/>
    <w:rsid w:val="00F77245"/>
    <w:rsid w:val="00F77C63"/>
    <w:rsid w:val="00F8169B"/>
    <w:rsid w:val="00F81D32"/>
    <w:rsid w:val="00F828CF"/>
    <w:rsid w:val="00F833C3"/>
    <w:rsid w:val="00F8454E"/>
    <w:rsid w:val="00F84BAC"/>
    <w:rsid w:val="00F9022A"/>
    <w:rsid w:val="00F91ADF"/>
    <w:rsid w:val="00F9390D"/>
    <w:rsid w:val="00F96CBB"/>
    <w:rsid w:val="00FA103A"/>
    <w:rsid w:val="00FA13FC"/>
    <w:rsid w:val="00FA2B9C"/>
    <w:rsid w:val="00FA4E86"/>
    <w:rsid w:val="00FA55BE"/>
    <w:rsid w:val="00FA696D"/>
    <w:rsid w:val="00FB0682"/>
    <w:rsid w:val="00FB1E1E"/>
    <w:rsid w:val="00FB2632"/>
    <w:rsid w:val="00FB43A3"/>
    <w:rsid w:val="00FB4DA7"/>
    <w:rsid w:val="00FB58DE"/>
    <w:rsid w:val="00FB6FF5"/>
    <w:rsid w:val="00FB7924"/>
    <w:rsid w:val="00FB7C26"/>
    <w:rsid w:val="00FB7EF6"/>
    <w:rsid w:val="00FC0203"/>
    <w:rsid w:val="00FC49D1"/>
    <w:rsid w:val="00FC798C"/>
    <w:rsid w:val="00FD0D0C"/>
    <w:rsid w:val="00FD151E"/>
    <w:rsid w:val="00FD15AA"/>
    <w:rsid w:val="00FD1A49"/>
    <w:rsid w:val="00FD1C52"/>
    <w:rsid w:val="00FD21E4"/>
    <w:rsid w:val="00FD26BD"/>
    <w:rsid w:val="00FD2A1F"/>
    <w:rsid w:val="00FD689D"/>
    <w:rsid w:val="00FD741B"/>
    <w:rsid w:val="00FD78D0"/>
    <w:rsid w:val="00FD7F34"/>
    <w:rsid w:val="00FE349B"/>
    <w:rsid w:val="00FE4553"/>
    <w:rsid w:val="00FE4843"/>
    <w:rsid w:val="00FE63F7"/>
    <w:rsid w:val="00FF072D"/>
    <w:rsid w:val="00FF1198"/>
    <w:rsid w:val="00FF203A"/>
    <w:rsid w:val="00FF2DBC"/>
    <w:rsid w:val="00FF3123"/>
    <w:rsid w:val="00FF36DF"/>
    <w:rsid w:val="00FF5989"/>
    <w:rsid w:val="00FF5A61"/>
    <w:rsid w:val="00FF626F"/>
    <w:rsid w:val="00FF635C"/>
    <w:rsid w:val="00FF7C0D"/>
    <w:rsid w:val="0BD32667"/>
    <w:rsid w:val="10A932D3"/>
    <w:rsid w:val="255DDCB8"/>
    <w:rsid w:val="327449BD"/>
    <w:rsid w:val="42BEE855"/>
    <w:rsid w:val="7C2BB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C0123C5"/>
  <w15:docId w15:val="{F47AB183-11D6-4CDD-80AF-F32DA46F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99"/>
    <w:pPr>
      <w:spacing w:after="160" w:line="259" w:lineRule="auto"/>
    </w:pPr>
  </w:style>
  <w:style w:type="paragraph" w:styleId="Heading1">
    <w:name w:val="heading 1"/>
    <w:basedOn w:val="Normal"/>
    <w:next w:val="Normal"/>
    <w:link w:val="Heading1Char"/>
    <w:uiPriority w:val="9"/>
    <w:qFormat/>
    <w:rsid w:val="006900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00E9"/>
    <w:pPr>
      <w:keepNext/>
      <w:keepLines/>
      <w:spacing w:before="40" w:after="0" w:line="256" w:lineRule="auto"/>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4751D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6900E9"/>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ICO style"/>
    <w:basedOn w:val="Normal"/>
    <w:link w:val="ListParagraphChar"/>
    <w:uiPriority w:val="34"/>
    <w:qFormat/>
    <w:rsid w:val="002936AF"/>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2936AF"/>
    <w:rPr>
      <w:sz w:val="18"/>
      <w:szCs w:val="18"/>
    </w:rPr>
  </w:style>
  <w:style w:type="paragraph" w:styleId="CommentText">
    <w:name w:val="annotation text"/>
    <w:basedOn w:val="Normal"/>
    <w:link w:val="CommentTextChar"/>
    <w:uiPriority w:val="99"/>
    <w:semiHidden/>
    <w:unhideWhenUsed/>
    <w:rsid w:val="002936AF"/>
    <w:pPr>
      <w:spacing w:after="0" w:line="240" w:lineRule="auto"/>
    </w:pPr>
    <w:rPr>
      <w:sz w:val="24"/>
      <w:szCs w:val="24"/>
    </w:rPr>
  </w:style>
  <w:style w:type="character" w:customStyle="1" w:styleId="CommentTextChar">
    <w:name w:val="Comment Text Char"/>
    <w:basedOn w:val="DefaultParagraphFont"/>
    <w:link w:val="CommentText"/>
    <w:uiPriority w:val="99"/>
    <w:semiHidden/>
    <w:rsid w:val="002936AF"/>
    <w:rPr>
      <w:sz w:val="24"/>
      <w:szCs w:val="24"/>
    </w:rPr>
  </w:style>
  <w:style w:type="character" w:styleId="Hyperlink">
    <w:name w:val="Hyperlink"/>
    <w:uiPriority w:val="99"/>
    <w:unhideWhenUsed/>
    <w:rsid w:val="002936AF"/>
    <w:rPr>
      <w:color w:val="0000FF"/>
      <w:u w:val="single"/>
    </w:rPr>
  </w:style>
  <w:style w:type="paragraph" w:styleId="HTMLAddress">
    <w:name w:val="HTML Address"/>
    <w:basedOn w:val="Normal"/>
    <w:link w:val="HTMLAddressChar"/>
    <w:uiPriority w:val="99"/>
    <w:unhideWhenUsed/>
    <w:rsid w:val="002936AF"/>
    <w:pPr>
      <w:spacing w:after="0" w:line="240" w:lineRule="auto"/>
    </w:pPr>
    <w:rPr>
      <w:rFonts w:ascii="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2936AF"/>
    <w:rPr>
      <w:rFonts w:ascii="Times New Roman" w:hAnsi="Times New Roman" w:cs="Times New Roman"/>
      <w:i/>
      <w:iCs/>
      <w:sz w:val="24"/>
      <w:szCs w:val="24"/>
      <w:lang w:eastAsia="en-GB"/>
    </w:rPr>
  </w:style>
  <w:style w:type="character" w:customStyle="1" w:styleId="addr-line">
    <w:name w:val="addr-line"/>
    <w:basedOn w:val="DefaultParagraphFont"/>
    <w:rsid w:val="002936AF"/>
  </w:style>
  <w:style w:type="character" w:customStyle="1" w:styleId="institution">
    <w:name w:val="institution"/>
    <w:basedOn w:val="DefaultParagraphFont"/>
    <w:rsid w:val="002936AF"/>
  </w:style>
  <w:style w:type="paragraph" w:styleId="BalloonText">
    <w:name w:val="Balloon Text"/>
    <w:basedOn w:val="Normal"/>
    <w:link w:val="BalloonTextChar"/>
    <w:uiPriority w:val="99"/>
    <w:semiHidden/>
    <w:unhideWhenUsed/>
    <w:rsid w:val="00293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6AF"/>
    <w:rPr>
      <w:rFonts w:ascii="Tahoma" w:hAnsi="Tahoma" w:cs="Tahoma"/>
      <w:sz w:val="16"/>
      <w:szCs w:val="16"/>
    </w:rPr>
  </w:style>
  <w:style w:type="table" w:styleId="TableGrid">
    <w:name w:val="Table Grid"/>
    <w:basedOn w:val="TableNormal"/>
    <w:uiPriority w:val="59"/>
    <w:rsid w:val="00934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34221"/>
    <w:pPr>
      <w:spacing w:after="160"/>
    </w:pPr>
    <w:rPr>
      <w:b/>
      <w:bCs/>
      <w:sz w:val="20"/>
      <w:szCs w:val="20"/>
    </w:rPr>
  </w:style>
  <w:style w:type="character" w:customStyle="1" w:styleId="CommentSubjectChar">
    <w:name w:val="Comment Subject Char"/>
    <w:basedOn w:val="CommentTextChar"/>
    <w:link w:val="CommentSubject"/>
    <w:uiPriority w:val="99"/>
    <w:semiHidden/>
    <w:rsid w:val="00934221"/>
    <w:rPr>
      <w:b/>
      <w:bCs/>
      <w:sz w:val="20"/>
      <w:szCs w:val="20"/>
    </w:rPr>
  </w:style>
  <w:style w:type="paragraph" w:styleId="Bibliography">
    <w:name w:val="Bibliography"/>
    <w:basedOn w:val="Normal"/>
    <w:next w:val="Normal"/>
    <w:uiPriority w:val="37"/>
    <w:semiHidden/>
    <w:unhideWhenUsed/>
    <w:rsid w:val="0084347E"/>
  </w:style>
  <w:style w:type="paragraph" w:customStyle="1" w:styleId="Body">
    <w:name w:val="Body"/>
    <w:rsid w:val="000848F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Revision">
    <w:name w:val="Revision"/>
    <w:hidden/>
    <w:uiPriority w:val="99"/>
    <w:semiHidden/>
    <w:rsid w:val="000F49D2"/>
    <w:pPr>
      <w:spacing w:after="0" w:line="240" w:lineRule="auto"/>
    </w:pPr>
  </w:style>
  <w:style w:type="paragraph" w:styleId="NormalWeb">
    <w:name w:val="Normal (Web)"/>
    <w:basedOn w:val="Normal"/>
    <w:uiPriority w:val="99"/>
    <w:unhideWhenUsed/>
    <w:rsid w:val="00C60DD9"/>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AB645C"/>
  </w:style>
  <w:style w:type="character" w:customStyle="1" w:styleId="mb">
    <w:name w:val="mb"/>
    <w:basedOn w:val="DefaultParagraphFont"/>
    <w:rsid w:val="00AB645C"/>
  </w:style>
  <w:style w:type="paragraph" w:styleId="DocumentMap">
    <w:name w:val="Document Map"/>
    <w:basedOn w:val="Normal"/>
    <w:link w:val="DocumentMapChar"/>
    <w:uiPriority w:val="99"/>
    <w:semiHidden/>
    <w:unhideWhenUsed/>
    <w:rsid w:val="00C6743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67439"/>
    <w:rPr>
      <w:rFonts w:ascii="Times New Roman" w:hAnsi="Times New Roman" w:cs="Times New Roman"/>
      <w:sz w:val="24"/>
      <w:szCs w:val="24"/>
    </w:rPr>
  </w:style>
  <w:style w:type="paragraph" w:styleId="Header">
    <w:name w:val="header"/>
    <w:basedOn w:val="Normal"/>
    <w:link w:val="HeaderChar"/>
    <w:uiPriority w:val="99"/>
    <w:unhideWhenUsed/>
    <w:rsid w:val="002B02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2C0"/>
  </w:style>
  <w:style w:type="paragraph" w:styleId="Footer">
    <w:name w:val="footer"/>
    <w:basedOn w:val="Normal"/>
    <w:link w:val="FooterChar"/>
    <w:uiPriority w:val="99"/>
    <w:unhideWhenUsed/>
    <w:rsid w:val="002B0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2C0"/>
  </w:style>
  <w:style w:type="character" w:styleId="PageNumber">
    <w:name w:val="page number"/>
    <w:basedOn w:val="DefaultParagraphFont"/>
    <w:uiPriority w:val="99"/>
    <w:semiHidden/>
    <w:unhideWhenUsed/>
    <w:rsid w:val="00A72EB3"/>
  </w:style>
  <w:style w:type="character" w:styleId="FollowedHyperlink">
    <w:name w:val="FollowedHyperlink"/>
    <w:basedOn w:val="DefaultParagraphFont"/>
    <w:uiPriority w:val="99"/>
    <w:semiHidden/>
    <w:unhideWhenUsed/>
    <w:rsid w:val="00D66191"/>
    <w:rPr>
      <w:color w:val="800080" w:themeColor="followedHyperlink"/>
      <w:u w:val="single"/>
    </w:rPr>
  </w:style>
  <w:style w:type="character" w:customStyle="1" w:styleId="Heading3Char">
    <w:name w:val="Heading 3 Char"/>
    <w:basedOn w:val="DefaultParagraphFont"/>
    <w:link w:val="Heading3"/>
    <w:uiPriority w:val="9"/>
    <w:rsid w:val="004751D9"/>
    <w:rPr>
      <w:rFonts w:eastAsiaTheme="majorEastAsia" w:cstheme="majorBidi"/>
      <w:b/>
      <w:sz w:val="24"/>
      <w:szCs w:val="24"/>
    </w:rPr>
  </w:style>
  <w:style w:type="paragraph" w:styleId="NoSpacing">
    <w:name w:val="No Spacing"/>
    <w:qFormat/>
    <w:rsid w:val="006900E9"/>
    <w:pPr>
      <w:spacing w:after="0" w:line="240" w:lineRule="auto"/>
    </w:pPr>
  </w:style>
  <w:style w:type="character" w:customStyle="1" w:styleId="Heading1Char">
    <w:name w:val="Heading 1 Char"/>
    <w:basedOn w:val="DefaultParagraphFont"/>
    <w:link w:val="Heading1"/>
    <w:uiPriority w:val="9"/>
    <w:rsid w:val="006900E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900E9"/>
    <w:rPr>
      <w:rFonts w:eastAsiaTheme="majorEastAsia" w:cstheme="majorBidi"/>
      <w:b/>
      <w:sz w:val="26"/>
      <w:szCs w:val="26"/>
    </w:rPr>
  </w:style>
  <w:style w:type="character" w:customStyle="1" w:styleId="Heading4Char">
    <w:name w:val="Heading 4 Char"/>
    <w:basedOn w:val="DefaultParagraphFont"/>
    <w:link w:val="Heading4"/>
    <w:uiPriority w:val="9"/>
    <w:rsid w:val="006900E9"/>
    <w:rPr>
      <w:rFonts w:asciiTheme="majorHAnsi" w:eastAsiaTheme="majorEastAsia" w:hAnsiTheme="majorHAnsi" w:cstheme="majorBidi"/>
      <w:i/>
      <w:iCs/>
      <w:color w:val="365F91" w:themeColor="accent1" w:themeShade="BF"/>
    </w:rPr>
  </w:style>
  <w:style w:type="paragraph" w:customStyle="1" w:styleId="msonormal0">
    <w:name w:val="msonormal"/>
    <w:basedOn w:val="Normal"/>
    <w:rsid w:val="006900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90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0E9"/>
    <w:rPr>
      <w:sz w:val="20"/>
      <w:szCs w:val="20"/>
    </w:rPr>
  </w:style>
  <w:style w:type="paragraph" w:styleId="EndnoteText">
    <w:name w:val="endnote text"/>
    <w:basedOn w:val="Normal"/>
    <w:link w:val="EndnoteTextChar"/>
    <w:uiPriority w:val="99"/>
    <w:semiHidden/>
    <w:unhideWhenUsed/>
    <w:rsid w:val="00690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00E9"/>
    <w:rPr>
      <w:sz w:val="20"/>
      <w:szCs w:val="20"/>
    </w:rPr>
  </w:style>
  <w:style w:type="character" w:customStyle="1" w:styleId="ListParagraphChar">
    <w:name w:val="List Paragraph Char"/>
    <w:aliases w:val="PICO style Char"/>
    <w:basedOn w:val="DefaultParagraphFont"/>
    <w:link w:val="ListParagraph"/>
    <w:uiPriority w:val="34"/>
    <w:locked/>
    <w:rsid w:val="006900E9"/>
    <w:rPr>
      <w:sz w:val="24"/>
      <w:szCs w:val="24"/>
    </w:rPr>
  </w:style>
  <w:style w:type="character" w:customStyle="1" w:styleId="EndNoteBibliographyTitleChar">
    <w:name w:val="EndNote Bibliography Title Char"/>
    <w:basedOn w:val="ListParagraphChar"/>
    <w:link w:val="EndNoteBibliographyTitle"/>
    <w:locked/>
    <w:rsid w:val="006900E9"/>
    <w:rPr>
      <w:rFonts w:ascii="Calibri" w:hAnsi="Calibri" w:cs="Calibri"/>
      <w:noProof/>
      <w:sz w:val="24"/>
      <w:szCs w:val="24"/>
      <w:lang w:val="en-US"/>
    </w:rPr>
  </w:style>
  <w:style w:type="paragraph" w:customStyle="1" w:styleId="EndNoteBibliographyTitle">
    <w:name w:val="EndNote Bibliography Title"/>
    <w:basedOn w:val="Normal"/>
    <w:link w:val="EndNoteBibliographyTitleChar"/>
    <w:rsid w:val="006900E9"/>
    <w:pPr>
      <w:spacing w:after="0" w:line="256" w:lineRule="auto"/>
      <w:jc w:val="center"/>
    </w:pPr>
    <w:rPr>
      <w:rFonts w:ascii="Calibri" w:hAnsi="Calibri" w:cs="Calibri"/>
      <w:noProof/>
      <w:sz w:val="24"/>
      <w:szCs w:val="24"/>
      <w:lang w:val="en-US"/>
    </w:rPr>
  </w:style>
  <w:style w:type="character" w:customStyle="1" w:styleId="EndNoteBibliographyChar">
    <w:name w:val="EndNote Bibliography Char"/>
    <w:basedOn w:val="ListParagraphChar"/>
    <w:link w:val="EndNoteBibliography"/>
    <w:locked/>
    <w:rsid w:val="006900E9"/>
    <w:rPr>
      <w:rFonts w:ascii="Calibri" w:hAnsi="Calibri" w:cs="Calibri"/>
      <w:noProof/>
      <w:sz w:val="24"/>
      <w:szCs w:val="24"/>
      <w:lang w:val="en-US"/>
    </w:rPr>
  </w:style>
  <w:style w:type="paragraph" w:customStyle="1" w:styleId="EndNoteBibliography">
    <w:name w:val="EndNote Bibliography"/>
    <w:basedOn w:val="Normal"/>
    <w:link w:val="EndNoteBibliographyChar"/>
    <w:rsid w:val="006900E9"/>
    <w:pPr>
      <w:spacing w:line="240" w:lineRule="auto"/>
    </w:pPr>
    <w:rPr>
      <w:rFonts w:ascii="Calibri" w:hAnsi="Calibri" w:cs="Calibri"/>
      <w:noProof/>
      <w:sz w:val="24"/>
      <w:szCs w:val="24"/>
      <w:lang w:val="en-US"/>
    </w:rPr>
  </w:style>
  <w:style w:type="paragraph" w:customStyle="1" w:styleId="Tabletext9pt">
    <w:name w:val="Table text 9 pt"/>
    <w:basedOn w:val="Normal"/>
    <w:rsid w:val="006900E9"/>
    <w:pPr>
      <w:spacing w:after="60" w:line="240" w:lineRule="auto"/>
    </w:pPr>
    <w:rPr>
      <w:rFonts w:ascii="Arial" w:eastAsia="Times New Roman" w:hAnsi="Arial" w:cs="Times New Roman"/>
      <w:sz w:val="18"/>
      <w:szCs w:val="24"/>
    </w:rPr>
  </w:style>
  <w:style w:type="paragraph" w:customStyle="1" w:styleId="Tabletitle9pt">
    <w:name w:val="Table title 9 pt"/>
    <w:basedOn w:val="Normal"/>
    <w:next w:val="Tabletext9pt"/>
    <w:qFormat/>
    <w:rsid w:val="006900E9"/>
    <w:pPr>
      <w:keepNext/>
      <w:spacing w:after="60" w:line="240" w:lineRule="auto"/>
    </w:pPr>
    <w:rPr>
      <w:rFonts w:ascii="Arial" w:eastAsia="Times New Roman" w:hAnsi="Arial" w:cs="Times New Roman"/>
      <w:b/>
      <w:sz w:val="18"/>
      <w:szCs w:val="24"/>
    </w:rPr>
  </w:style>
  <w:style w:type="character" w:styleId="FootnoteReference">
    <w:name w:val="footnote reference"/>
    <w:basedOn w:val="DefaultParagraphFont"/>
    <w:uiPriority w:val="99"/>
    <w:semiHidden/>
    <w:unhideWhenUsed/>
    <w:rsid w:val="006900E9"/>
    <w:rPr>
      <w:vertAlign w:val="superscript"/>
    </w:rPr>
  </w:style>
  <w:style w:type="character" w:styleId="EndnoteReference">
    <w:name w:val="endnote reference"/>
    <w:basedOn w:val="DefaultParagraphFont"/>
    <w:uiPriority w:val="99"/>
    <w:semiHidden/>
    <w:unhideWhenUsed/>
    <w:rsid w:val="006900E9"/>
    <w:rPr>
      <w:vertAlign w:val="superscript"/>
    </w:rPr>
  </w:style>
  <w:style w:type="character" w:customStyle="1" w:styleId="searchhistory-search-term">
    <w:name w:val="searchhistory-search-term"/>
    <w:basedOn w:val="DefaultParagraphFont"/>
    <w:rsid w:val="006900E9"/>
  </w:style>
  <w:style w:type="character" w:customStyle="1" w:styleId="medium-bold">
    <w:name w:val="medium-bold"/>
    <w:basedOn w:val="DefaultParagraphFont"/>
    <w:rsid w:val="006900E9"/>
  </w:style>
  <w:style w:type="character" w:customStyle="1" w:styleId="medium-normal">
    <w:name w:val="medium-normal"/>
    <w:basedOn w:val="DefaultParagraphFont"/>
    <w:rsid w:val="006900E9"/>
  </w:style>
  <w:style w:type="character" w:customStyle="1" w:styleId="searchhistory-search-header">
    <w:name w:val="searchhistory-search-header"/>
    <w:basedOn w:val="DefaultParagraphFont"/>
    <w:rsid w:val="006900E9"/>
  </w:style>
  <w:style w:type="table" w:customStyle="1" w:styleId="TableGrid1">
    <w:name w:val="Table Grid1"/>
    <w:basedOn w:val="TableNormal"/>
    <w:uiPriority w:val="59"/>
    <w:rsid w:val="006900E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6900E9"/>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rsid w:val="006900E9"/>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font7">
    <w:name w:val="font7"/>
    <w:basedOn w:val="Normal"/>
    <w:rsid w:val="006900E9"/>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8">
    <w:name w:val="font8"/>
    <w:basedOn w:val="Normal"/>
    <w:rsid w:val="006900E9"/>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5">
    <w:name w:val="xl65"/>
    <w:basedOn w:val="Normal"/>
    <w:rsid w:val="00690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6900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6900E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6900E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6900E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6900E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1">
    <w:name w:val="xl71"/>
    <w:basedOn w:val="Normal"/>
    <w:rsid w:val="006900E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6900E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3">
    <w:name w:val="xl73"/>
    <w:basedOn w:val="Normal"/>
    <w:rsid w:val="006900E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4">
    <w:name w:val="xl74"/>
    <w:basedOn w:val="Normal"/>
    <w:rsid w:val="006900E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5">
    <w:name w:val="xl75"/>
    <w:basedOn w:val="Normal"/>
    <w:rsid w:val="006900E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6">
    <w:name w:val="xl76"/>
    <w:basedOn w:val="Normal"/>
    <w:rsid w:val="006900E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7">
    <w:name w:val="xl77"/>
    <w:basedOn w:val="Normal"/>
    <w:rsid w:val="006900E9"/>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8">
    <w:name w:val="xl78"/>
    <w:basedOn w:val="Normal"/>
    <w:rsid w:val="006900E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6900E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80">
    <w:name w:val="xl80"/>
    <w:basedOn w:val="Normal"/>
    <w:rsid w:val="006900E9"/>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6900E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rsid w:val="006900E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3">
    <w:name w:val="xl83"/>
    <w:basedOn w:val="Normal"/>
    <w:rsid w:val="006900E9"/>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4">
    <w:name w:val="xl84"/>
    <w:basedOn w:val="Normal"/>
    <w:rsid w:val="006900E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5">
    <w:name w:val="xl85"/>
    <w:basedOn w:val="Normal"/>
    <w:rsid w:val="006900E9"/>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character" w:customStyle="1" w:styleId="UnresolvedMention1">
    <w:name w:val="Unresolved Mention1"/>
    <w:basedOn w:val="DefaultParagraphFont"/>
    <w:uiPriority w:val="99"/>
    <w:semiHidden/>
    <w:unhideWhenUsed/>
    <w:rsid w:val="006F1D8C"/>
    <w:rPr>
      <w:color w:val="605E5C"/>
      <w:shd w:val="clear" w:color="auto" w:fill="E1DFDD"/>
    </w:rPr>
  </w:style>
  <w:style w:type="character" w:styleId="LineNumber">
    <w:name w:val="line number"/>
    <w:basedOn w:val="DefaultParagraphFont"/>
    <w:uiPriority w:val="99"/>
    <w:semiHidden/>
    <w:unhideWhenUsed/>
    <w:rsid w:val="00CA6F90"/>
  </w:style>
  <w:style w:type="paragraph" w:styleId="BodyText">
    <w:name w:val="Body Text"/>
    <w:basedOn w:val="Normal"/>
    <w:link w:val="BodyTextChar"/>
    <w:rsid w:val="0043058E"/>
    <w:pPr>
      <w:spacing w:after="0" w:line="240" w:lineRule="auto"/>
    </w:pPr>
    <w:rPr>
      <w:rFonts w:ascii="Arial" w:eastAsiaTheme="minorEastAsia" w:hAnsi="Arial" w:cs="Times New Roman"/>
      <w:b/>
      <w:bCs/>
      <w:szCs w:val="20"/>
    </w:rPr>
  </w:style>
  <w:style w:type="character" w:customStyle="1" w:styleId="BodyTextChar">
    <w:name w:val="Body Text Char"/>
    <w:basedOn w:val="DefaultParagraphFont"/>
    <w:link w:val="BodyText"/>
    <w:rsid w:val="0043058E"/>
    <w:rPr>
      <w:rFonts w:ascii="Arial" w:eastAsiaTheme="minorEastAsia" w:hAnsi="Arial" w:cs="Times New Roman"/>
      <w:b/>
      <w:bCs/>
      <w:szCs w:val="20"/>
    </w:rPr>
  </w:style>
  <w:style w:type="paragraph" w:customStyle="1" w:styleId="Default">
    <w:name w:val="Default"/>
    <w:rsid w:val="001457CB"/>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Strong">
    <w:name w:val="Strong"/>
    <w:basedOn w:val="DefaultParagraphFont"/>
    <w:uiPriority w:val="22"/>
    <w:qFormat/>
    <w:rsid w:val="00A645FF"/>
    <w:rPr>
      <w:b/>
      <w:bCs/>
    </w:rPr>
  </w:style>
  <w:style w:type="character" w:styleId="Emphasis">
    <w:name w:val="Emphasis"/>
    <w:basedOn w:val="DefaultParagraphFont"/>
    <w:uiPriority w:val="20"/>
    <w:qFormat/>
    <w:rsid w:val="00A645FF"/>
    <w:rPr>
      <w:i/>
      <w:iCs/>
    </w:rPr>
  </w:style>
  <w:style w:type="paragraph" w:customStyle="1" w:styleId="Pa10">
    <w:name w:val="Pa10"/>
    <w:basedOn w:val="Normal"/>
    <w:uiPriority w:val="99"/>
    <w:rsid w:val="00E758C0"/>
    <w:pPr>
      <w:autoSpaceDE w:val="0"/>
      <w:autoSpaceDN w:val="0"/>
      <w:spacing w:after="0" w:line="241" w:lineRule="atLeast"/>
    </w:pPr>
    <w:rPr>
      <w:rFonts w:ascii="HelveticaNeueLT Pro 45 Lt" w:hAnsi="HelveticaNeueLT Pro 45 Lt" w:cs="Calibri"/>
      <w:sz w:val="24"/>
      <w:szCs w:val="24"/>
      <w:lang w:eastAsia="en-GB"/>
    </w:rPr>
  </w:style>
  <w:style w:type="character" w:styleId="UnresolvedMention">
    <w:name w:val="Unresolved Mention"/>
    <w:basedOn w:val="DefaultParagraphFont"/>
    <w:uiPriority w:val="99"/>
    <w:semiHidden/>
    <w:unhideWhenUsed/>
    <w:rsid w:val="00635AB1"/>
    <w:rPr>
      <w:color w:val="605E5C"/>
      <w:shd w:val="clear" w:color="auto" w:fill="E1DFDD"/>
    </w:rPr>
  </w:style>
  <w:style w:type="paragraph" w:customStyle="1" w:styleId="xmsonormal">
    <w:name w:val="xmsonormal"/>
    <w:basedOn w:val="Normal"/>
    <w:rsid w:val="00867819"/>
    <w:pPr>
      <w:spacing w:line="252"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3884">
      <w:bodyDiv w:val="1"/>
      <w:marLeft w:val="0"/>
      <w:marRight w:val="0"/>
      <w:marTop w:val="0"/>
      <w:marBottom w:val="0"/>
      <w:divBdr>
        <w:top w:val="none" w:sz="0" w:space="0" w:color="auto"/>
        <w:left w:val="none" w:sz="0" w:space="0" w:color="auto"/>
        <w:bottom w:val="none" w:sz="0" w:space="0" w:color="auto"/>
        <w:right w:val="none" w:sz="0" w:space="0" w:color="auto"/>
      </w:divBdr>
    </w:div>
    <w:div w:id="73011092">
      <w:bodyDiv w:val="1"/>
      <w:marLeft w:val="0"/>
      <w:marRight w:val="0"/>
      <w:marTop w:val="0"/>
      <w:marBottom w:val="0"/>
      <w:divBdr>
        <w:top w:val="none" w:sz="0" w:space="0" w:color="auto"/>
        <w:left w:val="none" w:sz="0" w:space="0" w:color="auto"/>
        <w:bottom w:val="none" w:sz="0" w:space="0" w:color="auto"/>
        <w:right w:val="none" w:sz="0" w:space="0" w:color="auto"/>
      </w:divBdr>
    </w:div>
    <w:div w:id="131095431">
      <w:bodyDiv w:val="1"/>
      <w:marLeft w:val="0"/>
      <w:marRight w:val="0"/>
      <w:marTop w:val="0"/>
      <w:marBottom w:val="0"/>
      <w:divBdr>
        <w:top w:val="none" w:sz="0" w:space="0" w:color="auto"/>
        <w:left w:val="none" w:sz="0" w:space="0" w:color="auto"/>
        <w:bottom w:val="none" w:sz="0" w:space="0" w:color="auto"/>
        <w:right w:val="none" w:sz="0" w:space="0" w:color="auto"/>
      </w:divBdr>
    </w:div>
    <w:div w:id="248462276">
      <w:bodyDiv w:val="1"/>
      <w:marLeft w:val="0"/>
      <w:marRight w:val="0"/>
      <w:marTop w:val="0"/>
      <w:marBottom w:val="0"/>
      <w:divBdr>
        <w:top w:val="none" w:sz="0" w:space="0" w:color="auto"/>
        <w:left w:val="none" w:sz="0" w:space="0" w:color="auto"/>
        <w:bottom w:val="none" w:sz="0" w:space="0" w:color="auto"/>
        <w:right w:val="none" w:sz="0" w:space="0" w:color="auto"/>
      </w:divBdr>
    </w:div>
    <w:div w:id="249313530">
      <w:bodyDiv w:val="1"/>
      <w:marLeft w:val="0"/>
      <w:marRight w:val="0"/>
      <w:marTop w:val="0"/>
      <w:marBottom w:val="0"/>
      <w:divBdr>
        <w:top w:val="none" w:sz="0" w:space="0" w:color="auto"/>
        <w:left w:val="none" w:sz="0" w:space="0" w:color="auto"/>
        <w:bottom w:val="none" w:sz="0" w:space="0" w:color="auto"/>
        <w:right w:val="none" w:sz="0" w:space="0" w:color="auto"/>
      </w:divBdr>
    </w:div>
    <w:div w:id="261493448">
      <w:bodyDiv w:val="1"/>
      <w:marLeft w:val="0"/>
      <w:marRight w:val="0"/>
      <w:marTop w:val="0"/>
      <w:marBottom w:val="0"/>
      <w:divBdr>
        <w:top w:val="none" w:sz="0" w:space="0" w:color="auto"/>
        <w:left w:val="none" w:sz="0" w:space="0" w:color="auto"/>
        <w:bottom w:val="none" w:sz="0" w:space="0" w:color="auto"/>
        <w:right w:val="none" w:sz="0" w:space="0" w:color="auto"/>
      </w:divBdr>
      <w:divsChild>
        <w:div w:id="22438742">
          <w:marLeft w:val="0"/>
          <w:marRight w:val="0"/>
          <w:marTop w:val="0"/>
          <w:marBottom w:val="0"/>
          <w:divBdr>
            <w:top w:val="none" w:sz="0" w:space="0" w:color="auto"/>
            <w:left w:val="none" w:sz="0" w:space="0" w:color="auto"/>
            <w:bottom w:val="none" w:sz="0" w:space="0" w:color="auto"/>
            <w:right w:val="none" w:sz="0" w:space="0" w:color="auto"/>
          </w:divBdr>
        </w:div>
        <w:div w:id="1201168854">
          <w:marLeft w:val="0"/>
          <w:marRight w:val="0"/>
          <w:marTop w:val="0"/>
          <w:marBottom w:val="0"/>
          <w:divBdr>
            <w:top w:val="none" w:sz="0" w:space="0" w:color="auto"/>
            <w:left w:val="none" w:sz="0" w:space="0" w:color="auto"/>
            <w:bottom w:val="none" w:sz="0" w:space="0" w:color="auto"/>
            <w:right w:val="none" w:sz="0" w:space="0" w:color="auto"/>
          </w:divBdr>
        </w:div>
        <w:div w:id="2081829048">
          <w:marLeft w:val="0"/>
          <w:marRight w:val="0"/>
          <w:marTop w:val="0"/>
          <w:marBottom w:val="0"/>
          <w:divBdr>
            <w:top w:val="none" w:sz="0" w:space="0" w:color="auto"/>
            <w:left w:val="none" w:sz="0" w:space="0" w:color="auto"/>
            <w:bottom w:val="none" w:sz="0" w:space="0" w:color="auto"/>
            <w:right w:val="none" w:sz="0" w:space="0" w:color="auto"/>
          </w:divBdr>
        </w:div>
      </w:divsChild>
    </w:div>
    <w:div w:id="471023209">
      <w:bodyDiv w:val="1"/>
      <w:marLeft w:val="0"/>
      <w:marRight w:val="0"/>
      <w:marTop w:val="0"/>
      <w:marBottom w:val="0"/>
      <w:divBdr>
        <w:top w:val="none" w:sz="0" w:space="0" w:color="auto"/>
        <w:left w:val="none" w:sz="0" w:space="0" w:color="auto"/>
        <w:bottom w:val="none" w:sz="0" w:space="0" w:color="auto"/>
        <w:right w:val="none" w:sz="0" w:space="0" w:color="auto"/>
      </w:divBdr>
    </w:div>
    <w:div w:id="476803738">
      <w:bodyDiv w:val="1"/>
      <w:marLeft w:val="0"/>
      <w:marRight w:val="0"/>
      <w:marTop w:val="0"/>
      <w:marBottom w:val="0"/>
      <w:divBdr>
        <w:top w:val="none" w:sz="0" w:space="0" w:color="auto"/>
        <w:left w:val="none" w:sz="0" w:space="0" w:color="auto"/>
        <w:bottom w:val="none" w:sz="0" w:space="0" w:color="auto"/>
        <w:right w:val="none" w:sz="0" w:space="0" w:color="auto"/>
      </w:divBdr>
    </w:div>
    <w:div w:id="511576037">
      <w:bodyDiv w:val="1"/>
      <w:marLeft w:val="0"/>
      <w:marRight w:val="0"/>
      <w:marTop w:val="0"/>
      <w:marBottom w:val="0"/>
      <w:divBdr>
        <w:top w:val="none" w:sz="0" w:space="0" w:color="auto"/>
        <w:left w:val="none" w:sz="0" w:space="0" w:color="auto"/>
        <w:bottom w:val="none" w:sz="0" w:space="0" w:color="auto"/>
        <w:right w:val="none" w:sz="0" w:space="0" w:color="auto"/>
      </w:divBdr>
    </w:div>
    <w:div w:id="672727319">
      <w:bodyDiv w:val="1"/>
      <w:marLeft w:val="0"/>
      <w:marRight w:val="0"/>
      <w:marTop w:val="0"/>
      <w:marBottom w:val="0"/>
      <w:divBdr>
        <w:top w:val="none" w:sz="0" w:space="0" w:color="auto"/>
        <w:left w:val="none" w:sz="0" w:space="0" w:color="auto"/>
        <w:bottom w:val="none" w:sz="0" w:space="0" w:color="auto"/>
        <w:right w:val="none" w:sz="0" w:space="0" w:color="auto"/>
      </w:divBdr>
    </w:div>
    <w:div w:id="695734608">
      <w:bodyDiv w:val="1"/>
      <w:marLeft w:val="0"/>
      <w:marRight w:val="0"/>
      <w:marTop w:val="0"/>
      <w:marBottom w:val="0"/>
      <w:divBdr>
        <w:top w:val="none" w:sz="0" w:space="0" w:color="auto"/>
        <w:left w:val="none" w:sz="0" w:space="0" w:color="auto"/>
        <w:bottom w:val="none" w:sz="0" w:space="0" w:color="auto"/>
        <w:right w:val="none" w:sz="0" w:space="0" w:color="auto"/>
      </w:divBdr>
    </w:div>
    <w:div w:id="695958780">
      <w:bodyDiv w:val="1"/>
      <w:marLeft w:val="0"/>
      <w:marRight w:val="0"/>
      <w:marTop w:val="0"/>
      <w:marBottom w:val="0"/>
      <w:divBdr>
        <w:top w:val="none" w:sz="0" w:space="0" w:color="auto"/>
        <w:left w:val="none" w:sz="0" w:space="0" w:color="auto"/>
        <w:bottom w:val="none" w:sz="0" w:space="0" w:color="auto"/>
        <w:right w:val="none" w:sz="0" w:space="0" w:color="auto"/>
      </w:divBdr>
    </w:div>
    <w:div w:id="703823846">
      <w:bodyDiv w:val="1"/>
      <w:marLeft w:val="0"/>
      <w:marRight w:val="0"/>
      <w:marTop w:val="0"/>
      <w:marBottom w:val="0"/>
      <w:divBdr>
        <w:top w:val="none" w:sz="0" w:space="0" w:color="auto"/>
        <w:left w:val="none" w:sz="0" w:space="0" w:color="auto"/>
        <w:bottom w:val="none" w:sz="0" w:space="0" w:color="auto"/>
        <w:right w:val="none" w:sz="0" w:space="0" w:color="auto"/>
      </w:divBdr>
    </w:div>
    <w:div w:id="741147542">
      <w:bodyDiv w:val="1"/>
      <w:marLeft w:val="0"/>
      <w:marRight w:val="0"/>
      <w:marTop w:val="0"/>
      <w:marBottom w:val="0"/>
      <w:divBdr>
        <w:top w:val="none" w:sz="0" w:space="0" w:color="auto"/>
        <w:left w:val="none" w:sz="0" w:space="0" w:color="auto"/>
        <w:bottom w:val="none" w:sz="0" w:space="0" w:color="auto"/>
        <w:right w:val="none" w:sz="0" w:space="0" w:color="auto"/>
      </w:divBdr>
    </w:div>
    <w:div w:id="743181676">
      <w:bodyDiv w:val="1"/>
      <w:marLeft w:val="0"/>
      <w:marRight w:val="0"/>
      <w:marTop w:val="0"/>
      <w:marBottom w:val="0"/>
      <w:divBdr>
        <w:top w:val="none" w:sz="0" w:space="0" w:color="auto"/>
        <w:left w:val="none" w:sz="0" w:space="0" w:color="auto"/>
        <w:bottom w:val="none" w:sz="0" w:space="0" w:color="auto"/>
        <w:right w:val="none" w:sz="0" w:space="0" w:color="auto"/>
      </w:divBdr>
      <w:divsChild>
        <w:div w:id="445731016">
          <w:marLeft w:val="0"/>
          <w:marRight w:val="0"/>
          <w:marTop w:val="0"/>
          <w:marBottom w:val="0"/>
          <w:divBdr>
            <w:top w:val="none" w:sz="0" w:space="0" w:color="auto"/>
            <w:left w:val="none" w:sz="0" w:space="0" w:color="auto"/>
            <w:bottom w:val="none" w:sz="0" w:space="0" w:color="auto"/>
            <w:right w:val="none" w:sz="0" w:space="0" w:color="auto"/>
          </w:divBdr>
        </w:div>
        <w:div w:id="554201435">
          <w:marLeft w:val="0"/>
          <w:marRight w:val="0"/>
          <w:marTop w:val="0"/>
          <w:marBottom w:val="0"/>
          <w:divBdr>
            <w:top w:val="none" w:sz="0" w:space="0" w:color="auto"/>
            <w:left w:val="none" w:sz="0" w:space="0" w:color="auto"/>
            <w:bottom w:val="none" w:sz="0" w:space="0" w:color="auto"/>
            <w:right w:val="none" w:sz="0" w:space="0" w:color="auto"/>
          </w:divBdr>
        </w:div>
        <w:div w:id="1251230147">
          <w:marLeft w:val="0"/>
          <w:marRight w:val="0"/>
          <w:marTop w:val="0"/>
          <w:marBottom w:val="0"/>
          <w:divBdr>
            <w:top w:val="none" w:sz="0" w:space="0" w:color="auto"/>
            <w:left w:val="none" w:sz="0" w:space="0" w:color="auto"/>
            <w:bottom w:val="none" w:sz="0" w:space="0" w:color="auto"/>
            <w:right w:val="none" w:sz="0" w:space="0" w:color="auto"/>
          </w:divBdr>
        </w:div>
        <w:div w:id="1544559246">
          <w:marLeft w:val="0"/>
          <w:marRight w:val="0"/>
          <w:marTop w:val="0"/>
          <w:marBottom w:val="0"/>
          <w:divBdr>
            <w:top w:val="none" w:sz="0" w:space="0" w:color="auto"/>
            <w:left w:val="none" w:sz="0" w:space="0" w:color="auto"/>
            <w:bottom w:val="none" w:sz="0" w:space="0" w:color="auto"/>
            <w:right w:val="none" w:sz="0" w:space="0" w:color="auto"/>
          </w:divBdr>
        </w:div>
        <w:div w:id="1986273357">
          <w:marLeft w:val="0"/>
          <w:marRight w:val="0"/>
          <w:marTop w:val="0"/>
          <w:marBottom w:val="0"/>
          <w:divBdr>
            <w:top w:val="none" w:sz="0" w:space="0" w:color="auto"/>
            <w:left w:val="none" w:sz="0" w:space="0" w:color="auto"/>
            <w:bottom w:val="none" w:sz="0" w:space="0" w:color="auto"/>
            <w:right w:val="none" w:sz="0" w:space="0" w:color="auto"/>
          </w:divBdr>
        </w:div>
      </w:divsChild>
    </w:div>
    <w:div w:id="753933681">
      <w:bodyDiv w:val="1"/>
      <w:marLeft w:val="0"/>
      <w:marRight w:val="0"/>
      <w:marTop w:val="0"/>
      <w:marBottom w:val="0"/>
      <w:divBdr>
        <w:top w:val="none" w:sz="0" w:space="0" w:color="auto"/>
        <w:left w:val="none" w:sz="0" w:space="0" w:color="auto"/>
        <w:bottom w:val="none" w:sz="0" w:space="0" w:color="auto"/>
        <w:right w:val="none" w:sz="0" w:space="0" w:color="auto"/>
      </w:divBdr>
    </w:div>
    <w:div w:id="820586677">
      <w:bodyDiv w:val="1"/>
      <w:marLeft w:val="0"/>
      <w:marRight w:val="0"/>
      <w:marTop w:val="0"/>
      <w:marBottom w:val="0"/>
      <w:divBdr>
        <w:top w:val="none" w:sz="0" w:space="0" w:color="auto"/>
        <w:left w:val="none" w:sz="0" w:space="0" w:color="auto"/>
        <w:bottom w:val="none" w:sz="0" w:space="0" w:color="auto"/>
        <w:right w:val="none" w:sz="0" w:space="0" w:color="auto"/>
      </w:divBdr>
    </w:div>
    <w:div w:id="858664024">
      <w:bodyDiv w:val="1"/>
      <w:marLeft w:val="0"/>
      <w:marRight w:val="0"/>
      <w:marTop w:val="0"/>
      <w:marBottom w:val="0"/>
      <w:divBdr>
        <w:top w:val="none" w:sz="0" w:space="0" w:color="auto"/>
        <w:left w:val="none" w:sz="0" w:space="0" w:color="auto"/>
        <w:bottom w:val="none" w:sz="0" w:space="0" w:color="auto"/>
        <w:right w:val="none" w:sz="0" w:space="0" w:color="auto"/>
      </w:divBdr>
    </w:div>
    <w:div w:id="866522593">
      <w:bodyDiv w:val="1"/>
      <w:marLeft w:val="0"/>
      <w:marRight w:val="0"/>
      <w:marTop w:val="0"/>
      <w:marBottom w:val="0"/>
      <w:divBdr>
        <w:top w:val="none" w:sz="0" w:space="0" w:color="auto"/>
        <w:left w:val="none" w:sz="0" w:space="0" w:color="auto"/>
        <w:bottom w:val="none" w:sz="0" w:space="0" w:color="auto"/>
        <w:right w:val="none" w:sz="0" w:space="0" w:color="auto"/>
      </w:divBdr>
    </w:div>
    <w:div w:id="892080255">
      <w:bodyDiv w:val="1"/>
      <w:marLeft w:val="0"/>
      <w:marRight w:val="0"/>
      <w:marTop w:val="0"/>
      <w:marBottom w:val="0"/>
      <w:divBdr>
        <w:top w:val="none" w:sz="0" w:space="0" w:color="auto"/>
        <w:left w:val="none" w:sz="0" w:space="0" w:color="auto"/>
        <w:bottom w:val="none" w:sz="0" w:space="0" w:color="auto"/>
        <w:right w:val="none" w:sz="0" w:space="0" w:color="auto"/>
      </w:divBdr>
    </w:div>
    <w:div w:id="914900067">
      <w:bodyDiv w:val="1"/>
      <w:marLeft w:val="0"/>
      <w:marRight w:val="0"/>
      <w:marTop w:val="0"/>
      <w:marBottom w:val="0"/>
      <w:divBdr>
        <w:top w:val="none" w:sz="0" w:space="0" w:color="auto"/>
        <w:left w:val="none" w:sz="0" w:space="0" w:color="auto"/>
        <w:bottom w:val="none" w:sz="0" w:space="0" w:color="auto"/>
        <w:right w:val="none" w:sz="0" w:space="0" w:color="auto"/>
      </w:divBdr>
    </w:div>
    <w:div w:id="948200306">
      <w:bodyDiv w:val="1"/>
      <w:marLeft w:val="0"/>
      <w:marRight w:val="0"/>
      <w:marTop w:val="0"/>
      <w:marBottom w:val="0"/>
      <w:divBdr>
        <w:top w:val="none" w:sz="0" w:space="0" w:color="auto"/>
        <w:left w:val="none" w:sz="0" w:space="0" w:color="auto"/>
        <w:bottom w:val="none" w:sz="0" w:space="0" w:color="auto"/>
        <w:right w:val="none" w:sz="0" w:space="0" w:color="auto"/>
      </w:divBdr>
    </w:div>
    <w:div w:id="999847718">
      <w:bodyDiv w:val="1"/>
      <w:marLeft w:val="0"/>
      <w:marRight w:val="0"/>
      <w:marTop w:val="0"/>
      <w:marBottom w:val="0"/>
      <w:divBdr>
        <w:top w:val="none" w:sz="0" w:space="0" w:color="auto"/>
        <w:left w:val="none" w:sz="0" w:space="0" w:color="auto"/>
        <w:bottom w:val="none" w:sz="0" w:space="0" w:color="auto"/>
        <w:right w:val="none" w:sz="0" w:space="0" w:color="auto"/>
      </w:divBdr>
    </w:div>
    <w:div w:id="1040592676">
      <w:bodyDiv w:val="1"/>
      <w:marLeft w:val="0"/>
      <w:marRight w:val="0"/>
      <w:marTop w:val="0"/>
      <w:marBottom w:val="0"/>
      <w:divBdr>
        <w:top w:val="none" w:sz="0" w:space="0" w:color="auto"/>
        <w:left w:val="none" w:sz="0" w:space="0" w:color="auto"/>
        <w:bottom w:val="none" w:sz="0" w:space="0" w:color="auto"/>
        <w:right w:val="none" w:sz="0" w:space="0" w:color="auto"/>
      </w:divBdr>
    </w:div>
    <w:div w:id="1056973340">
      <w:bodyDiv w:val="1"/>
      <w:marLeft w:val="0"/>
      <w:marRight w:val="0"/>
      <w:marTop w:val="0"/>
      <w:marBottom w:val="0"/>
      <w:divBdr>
        <w:top w:val="none" w:sz="0" w:space="0" w:color="auto"/>
        <w:left w:val="none" w:sz="0" w:space="0" w:color="auto"/>
        <w:bottom w:val="none" w:sz="0" w:space="0" w:color="auto"/>
        <w:right w:val="none" w:sz="0" w:space="0" w:color="auto"/>
      </w:divBdr>
      <w:divsChild>
        <w:div w:id="722215746">
          <w:marLeft w:val="0"/>
          <w:marRight w:val="0"/>
          <w:marTop w:val="0"/>
          <w:marBottom w:val="0"/>
          <w:divBdr>
            <w:top w:val="none" w:sz="0" w:space="0" w:color="auto"/>
            <w:left w:val="none" w:sz="0" w:space="0" w:color="auto"/>
            <w:bottom w:val="none" w:sz="0" w:space="0" w:color="auto"/>
            <w:right w:val="none" w:sz="0" w:space="0" w:color="auto"/>
          </w:divBdr>
        </w:div>
        <w:div w:id="514736595">
          <w:marLeft w:val="0"/>
          <w:marRight w:val="0"/>
          <w:marTop w:val="0"/>
          <w:marBottom w:val="0"/>
          <w:divBdr>
            <w:top w:val="none" w:sz="0" w:space="0" w:color="auto"/>
            <w:left w:val="none" w:sz="0" w:space="0" w:color="auto"/>
            <w:bottom w:val="none" w:sz="0" w:space="0" w:color="auto"/>
            <w:right w:val="none" w:sz="0" w:space="0" w:color="auto"/>
          </w:divBdr>
        </w:div>
        <w:div w:id="1751852960">
          <w:marLeft w:val="0"/>
          <w:marRight w:val="0"/>
          <w:marTop w:val="0"/>
          <w:marBottom w:val="0"/>
          <w:divBdr>
            <w:top w:val="none" w:sz="0" w:space="0" w:color="auto"/>
            <w:left w:val="none" w:sz="0" w:space="0" w:color="auto"/>
            <w:bottom w:val="none" w:sz="0" w:space="0" w:color="auto"/>
            <w:right w:val="none" w:sz="0" w:space="0" w:color="auto"/>
          </w:divBdr>
        </w:div>
        <w:div w:id="1020667119">
          <w:marLeft w:val="0"/>
          <w:marRight w:val="0"/>
          <w:marTop w:val="0"/>
          <w:marBottom w:val="0"/>
          <w:divBdr>
            <w:top w:val="none" w:sz="0" w:space="0" w:color="auto"/>
            <w:left w:val="none" w:sz="0" w:space="0" w:color="auto"/>
            <w:bottom w:val="none" w:sz="0" w:space="0" w:color="auto"/>
            <w:right w:val="none" w:sz="0" w:space="0" w:color="auto"/>
          </w:divBdr>
        </w:div>
        <w:div w:id="1809393123">
          <w:marLeft w:val="0"/>
          <w:marRight w:val="0"/>
          <w:marTop w:val="0"/>
          <w:marBottom w:val="0"/>
          <w:divBdr>
            <w:top w:val="none" w:sz="0" w:space="0" w:color="auto"/>
            <w:left w:val="none" w:sz="0" w:space="0" w:color="auto"/>
            <w:bottom w:val="none" w:sz="0" w:space="0" w:color="auto"/>
            <w:right w:val="none" w:sz="0" w:space="0" w:color="auto"/>
          </w:divBdr>
        </w:div>
        <w:div w:id="219829371">
          <w:marLeft w:val="0"/>
          <w:marRight w:val="0"/>
          <w:marTop w:val="0"/>
          <w:marBottom w:val="0"/>
          <w:divBdr>
            <w:top w:val="none" w:sz="0" w:space="0" w:color="auto"/>
            <w:left w:val="none" w:sz="0" w:space="0" w:color="auto"/>
            <w:bottom w:val="none" w:sz="0" w:space="0" w:color="auto"/>
            <w:right w:val="none" w:sz="0" w:space="0" w:color="auto"/>
          </w:divBdr>
        </w:div>
        <w:div w:id="499855362">
          <w:marLeft w:val="0"/>
          <w:marRight w:val="0"/>
          <w:marTop w:val="0"/>
          <w:marBottom w:val="0"/>
          <w:divBdr>
            <w:top w:val="none" w:sz="0" w:space="0" w:color="auto"/>
            <w:left w:val="none" w:sz="0" w:space="0" w:color="auto"/>
            <w:bottom w:val="none" w:sz="0" w:space="0" w:color="auto"/>
            <w:right w:val="none" w:sz="0" w:space="0" w:color="auto"/>
          </w:divBdr>
        </w:div>
        <w:div w:id="1374114764">
          <w:marLeft w:val="0"/>
          <w:marRight w:val="0"/>
          <w:marTop w:val="0"/>
          <w:marBottom w:val="0"/>
          <w:divBdr>
            <w:top w:val="none" w:sz="0" w:space="0" w:color="auto"/>
            <w:left w:val="none" w:sz="0" w:space="0" w:color="auto"/>
            <w:bottom w:val="none" w:sz="0" w:space="0" w:color="auto"/>
            <w:right w:val="none" w:sz="0" w:space="0" w:color="auto"/>
          </w:divBdr>
        </w:div>
        <w:div w:id="1700233058">
          <w:marLeft w:val="0"/>
          <w:marRight w:val="0"/>
          <w:marTop w:val="0"/>
          <w:marBottom w:val="0"/>
          <w:divBdr>
            <w:top w:val="none" w:sz="0" w:space="0" w:color="auto"/>
            <w:left w:val="none" w:sz="0" w:space="0" w:color="auto"/>
            <w:bottom w:val="none" w:sz="0" w:space="0" w:color="auto"/>
            <w:right w:val="none" w:sz="0" w:space="0" w:color="auto"/>
          </w:divBdr>
        </w:div>
        <w:div w:id="51320234">
          <w:marLeft w:val="0"/>
          <w:marRight w:val="0"/>
          <w:marTop w:val="0"/>
          <w:marBottom w:val="0"/>
          <w:divBdr>
            <w:top w:val="none" w:sz="0" w:space="0" w:color="auto"/>
            <w:left w:val="none" w:sz="0" w:space="0" w:color="auto"/>
            <w:bottom w:val="none" w:sz="0" w:space="0" w:color="auto"/>
            <w:right w:val="none" w:sz="0" w:space="0" w:color="auto"/>
          </w:divBdr>
        </w:div>
        <w:div w:id="923151833">
          <w:marLeft w:val="0"/>
          <w:marRight w:val="0"/>
          <w:marTop w:val="0"/>
          <w:marBottom w:val="0"/>
          <w:divBdr>
            <w:top w:val="none" w:sz="0" w:space="0" w:color="auto"/>
            <w:left w:val="none" w:sz="0" w:space="0" w:color="auto"/>
            <w:bottom w:val="none" w:sz="0" w:space="0" w:color="auto"/>
            <w:right w:val="none" w:sz="0" w:space="0" w:color="auto"/>
          </w:divBdr>
        </w:div>
        <w:div w:id="80613078">
          <w:marLeft w:val="0"/>
          <w:marRight w:val="0"/>
          <w:marTop w:val="0"/>
          <w:marBottom w:val="0"/>
          <w:divBdr>
            <w:top w:val="none" w:sz="0" w:space="0" w:color="auto"/>
            <w:left w:val="none" w:sz="0" w:space="0" w:color="auto"/>
            <w:bottom w:val="none" w:sz="0" w:space="0" w:color="auto"/>
            <w:right w:val="none" w:sz="0" w:space="0" w:color="auto"/>
          </w:divBdr>
        </w:div>
        <w:div w:id="1051539996">
          <w:marLeft w:val="0"/>
          <w:marRight w:val="0"/>
          <w:marTop w:val="0"/>
          <w:marBottom w:val="0"/>
          <w:divBdr>
            <w:top w:val="none" w:sz="0" w:space="0" w:color="auto"/>
            <w:left w:val="none" w:sz="0" w:space="0" w:color="auto"/>
            <w:bottom w:val="none" w:sz="0" w:space="0" w:color="auto"/>
            <w:right w:val="none" w:sz="0" w:space="0" w:color="auto"/>
          </w:divBdr>
        </w:div>
        <w:div w:id="1644389246">
          <w:marLeft w:val="0"/>
          <w:marRight w:val="0"/>
          <w:marTop w:val="0"/>
          <w:marBottom w:val="0"/>
          <w:divBdr>
            <w:top w:val="none" w:sz="0" w:space="0" w:color="auto"/>
            <w:left w:val="none" w:sz="0" w:space="0" w:color="auto"/>
            <w:bottom w:val="none" w:sz="0" w:space="0" w:color="auto"/>
            <w:right w:val="none" w:sz="0" w:space="0" w:color="auto"/>
          </w:divBdr>
        </w:div>
        <w:div w:id="170220075">
          <w:marLeft w:val="0"/>
          <w:marRight w:val="0"/>
          <w:marTop w:val="0"/>
          <w:marBottom w:val="0"/>
          <w:divBdr>
            <w:top w:val="none" w:sz="0" w:space="0" w:color="auto"/>
            <w:left w:val="none" w:sz="0" w:space="0" w:color="auto"/>
            <w:bottom w:val="none" w:sz="0" w:space="0" w:color="auto"/>
            <w:right w:val="none" w:sz="0" w:space="0" w:color="auto"/>
          </w:divBdr>
        </w:div>
        <w:div w:id="1199665915">
          <w:marLeft w:val="0"/>
          <w:marRight w:val="0"/>
          <w:marTop w:val="0"/>
          <w:marBottom w:val="0"/>
          <w:divBdr>
            <w:top w:val="none" w:sz="0" w:space="0" w:color="auto"/>
            <w:left w:val="none" w:sz="0" w:space="0" w:color="auto"/>
            <w:bottom w:val="none" w:sz="0" w:space="0" w:color="auto"/>
            <w:right w:val="none" w:sz="0" w:space="0" w:color="auto"/>
          </w:divBdr>
        </w:div>
        <w:div w:id="648359834">
          <w:marLeft w:val="0"/>
          <w:marRight w:val="0"/>
          <w:marTop w:val="0"/>
          <w:marBottom w:val="0"/>
          <w:divBdr>
            <w:top w:val="none" w:sz="0" w:space="0" w:color="auto"/>
            <w:left w:val="none" w:sz="0" w:space="0" w:color="auto"/>
            <w:bottom w:val="none" w:sz="0" w:space="0" w:color="auto"/>
            <w:right w:val="none" w:sz="0" w:space="0" w:color="auto"/>
          </w:divBdr>
        </w:div>
        <w:div w:id="880164742">
          <w:marLeft w:val="0"/>
          <w:marRight w:val="0"/>
          <w:marTop w:val="0"/>
          <w:marBottom w:val="0"/>
          <w:divBdr>
            <w:top w:val="none" w:sz="0" w:space="0" w:color="auto"/>
            <w:left w:val="none" w:sz="0" w:space="0" w:color="auto"/>
            <w:bottom w:val="none" w:sz="0" w:space="0" w:color="auto"/>
            <w:right w:val="none" w:sz="0" w:space="0" w:color="auto"/>
          </w:divBdr>
        </w:div>
        <w:div w:id="165944353">
          <w:marLeft w:val="0"/>
          <w:marRight w:val="0"/>
          <w:marTop w:val="0"/>
          <w:marBottom w:val="0"/>
          <w:divBdr>
            <w:top w:val="none" w:sz="0" w:space="0" w:color="auto"/>
            <w:left w:val="none" w:sz="0" w:space="0" w:color="auto"/>
            <w:bottom w:val="none" w:sz="0" w:space="0" w:color="auto"/>
            <w:right w:val="none" w:sz="0" w:space="0" w:color="auto"/>
          </w:divBdr>
        </w:div>
        <w:div w:id="885606064">
          <w:marLeft w:val="0"/>
          <w:marRight w:val="0"/>
          <w:marTop w:val="0"/>
          <w:marBottom w:val="0"/>
          <w:divBdr>
            <w:top w:val="none" w:sz="0" w:space="0" w:color="auto"/>
            <w:left w:val="none" w:sz="0" w:space="0" w:color="auto"/>
            <w:bottom w:val="none" w:sz="0" w:space="0" w:color="auto"/>
            <w:right w:val="none" w:sz="0" w:space="0" w:color="auto"/>
          </w:divBdr>
        </w:div>
        <w:div w:id="1934701922">
          <w:marLeft w:val="0"/>
          <w:marRight w:val="0"/>
          <w:marTop w:val="0"/>
          <w:marBottom w:val="0"/>
          <w:divBdr>
            <w:top w:val="none" w:sz="0" w:space="0" w:color="auto"/>
            <w:left w:val="none" w:sz="0" w:space="0" w:color="auto"/>
            <w:bottom w:val="none" w:sz="0" w:space="0" w:color="auto"/>
            <w:right w:val="none" w:sz="0" w:space="0" w:color="auto"/>
          </w:divBdr>
        </w:div>
        <w:div w:id="2053920522">
          <w:marLeft w:val="0"/>
          <w:marRight w:val="0"/>
          <w:marTop w:val="0"/>
          <w:marBottom w:val="0"/>
          <w:divBdr>
            <w:top w:val="none" w:sz="0" w:space="0" w:color="auto"/>
            <w:left w:val="none" w:sz="0" w:space="0" w:color="auto"/>
            <w:bottom w:val="none" w:sz="0" w:space="0" w:color="auto"/>
            <w:right w:val="none" w:sz="0" w:space="0" w:color="auto"/>
          </w:divBdr>
        </w:div>
        <w:div w:id="1276980641">
          <w:marLeft w:val="0"/>
          <w:marRight w:val="0"/>
          <w:marTop w:val="0"/>
          <w:marBottom w:val="0"/>
          <w:divBdr>
            <w:top w:val="none" w:sz="0" w:space="0" w:color="auto"/>
            <w:left w:val="none" w:sz="0" w:space="0" w:color="auto"/>
            <w:bottom w:val="none" w:sz="0" w:space="0" w:color="auto"/>
            <w:right w:val="none" w:sz="0" w:space="0" w:color="auto"/>
          </w:divBdr>
        </w:div>
        <w:div w:id="84689947">
          <w:marLeft w:val="0"/>
          <w:marRight w:val="0"/>
          <w:marTop w:val="0"/>
          <w:marBottom w:val="0"/>
          <w:divBdr>
            <w:top w:val="none" w:sz="0" w:space="0" w:color="auto"/>
            <w:left w:val="none" w:sz="0" w:space="0" w:color="auto"/>
            <w:bottom w:val="none" w:sz="0" w:space="0" w:color="auto"/>
            <w:right w:val="none" w:sz="0" w:space="0" w:color="auto"/>
          </w:divBdr>
        </w:div>
      </w:divsChild>
    </w:div>
    <w:div w:id="1206868151">
      <w:bodyDiv w:val="1"/>
      <w:marLeft w:val="0"/>
      <w:marRight w:val="0"/>
      <w:marTop w:val="0"/>
      <w:marBottom w:val="0"/>
      <w:divBdr>
        <w:top w:val="none" w:sz="0" w:space="0" w:color="auto"/>
        <w:left w:val="none" w:sz="0" w:space="0" w:color="auto"/>
        <w:bottom w:val="none" w:sz="0" w:space="0" w:color="auto"/>
        <w:right w:val="none" w:sz="0" w:space="0" w:color="auto"/>
      </w:divBdr>
    </w:div>
    <w:div w:id="1257398123">
      <w:bodyDiv w:val="1"/>
      <w:marLeft w:val="0"/>
      <w:marRight w:val="0"/>
      <w:marTop w:val="0"/>
      <w:marBottom w:val="0"/>
      <w:divBdr>
        <w:top w:val="none" w:sz="0" w:space="0" w:color="auto"/>
        <w:left w:val="none" w:sz="0" w:space="0" w:color="auto"/>
        <w:bottom w:val="none" w:sz="0" w:space="0" w:color="auto"/>
        <w:right w:val="none" w:sz="0" w:space="0" w:color="auto"/>
      </w:divBdr>
    </w:div>
    <w:div w:id="1283489472">
      <w:bodyDiv w:val="1"/>
      <w:marLeft w:val="0"/>
      <w:marRight w:val="0"/>
      <w:marTop w:val="0"/>
      <w:marBottom w:val="0"/>
      <w:divBdr>
        <w:top w:val="none" w:sz="0" w:space="0" w:color="auto"/>
        <w:left w:val="none" w:sz="0" w:space="0" w:color="auto"/>
        <w:bottom w:val="none" w:sz="0" w:space="0" w:color="auto"/>
        <w:right w:val="none" w:sz="0" w:space="0" w:color="auto"/>
      </w:divBdr>
      <w:divsChild>
        <w:div w:id="286473446">
          <w:marLeft w:val="547"/>
          <w:marRight w:val="0"/>
          <w:marTop w:val="0"/>
          <w:marBottom w:val="0"/>
          <w:divBdr>
            <w:top w:val="none" w:sz="0" w:space="0" w:color="auto"/>
            <w:left w:val="none" w:sz="0" w:space="0" w:color="auto"/>
            <w:bottom w:val="none" w:sz="0" w:space="0" w:color="auto"/>
            <w:right w:val="none" w:sz="0" w:space="0" w:color="auto"/>
          </w:divBdr>
        </w:div>
      </w:divsChild>
    </w:div>
    <w:div w:id="1313407792">
      <w:bodyDiv w:val="1"/>
      <w:marLeft w:val="0"/>
      <w:marRight w:val="0"/>
      <w:marTop w:val="0"/>
      <w:marBottom w:val="0"/>
      <w:divBdr>
        <w:top w:val="none" w:sz="0" w:space="0" w:color="auto"/>
        <w:left w:val="none" w:sz="0" w:space="0" w:color="auto"/>
        <w:bottom w:val="none" w:sz="0" w:space="0" w:color="auto"/>
        <w:right w:val="none" w:sz="0" w:space="0" w:color="auto"/>
      </w:divBdr>
    </w:div>
    <w:div w:id="1395156264">
      <w:bodyDiv w:val="1"/>
      <w:marLeft w:val="0"/>
      <w:marRight w:val="0"/>
      <w:marTop w:val="0"/>
      <w:marBottom w:val="0"/>
      <w:divBdr>
        <w:top w:val="none" w:sz="0" w:space="0" w:color="auto"/>
        <w:left w:val="none" w:sz="0" w:space="0" w:color="auto"/>
        <w:bottom w:val="none" w:sz="0" w:space="0" w:color="auto"/>
        <w:right w:val="none" w:sz="0" w:space="0" w:color="auto"/>
      </w:divBdr>
    </w:div>
    <w:div w:id="1400982710">
      <w:bodyDiv w:val="1"/>
      <w:marLeft w:val="0"/>
      <w:marRight w:val="0"/>
      <w:marTop w:val="0"/>
      <w:marBottom w:val="0"/>
      <w:divBdr>
        <w:top w:val="none" w:sz="0" w:space="0" w:color="auto"/>
        <w:left w:val="none" w:sz="0" w:space="0" w:color="auto"/>
        <w:bottom w:val="none" w:sz="0" w:space="0" w:color="auto"/>
        <w:right w:val="none" w:sz="0" w:space="0" w:color="auto"/>
      </w:divBdr>
    </w:div>
    <w:div w:id="1446539625">
      <w:bodyDiv w:val="1"/>
      <w:marLeft w:val="0"/>
      <w:marRight w:val="0"/>
      <w:marTop w:val="0"/>
      <w:marBottom w:val="0"/>
      <w:divBdr>
        <w:top w:val="none" w:sz="0" w:space="0" w:color="auto"/>
        <w:left w:val="none" w:sz="0" w:space="0" w:color="auto"/>
        <w:bottom w:val="none" w:sz="0" w:space="0" w:color="auto"/>
        <w:right w:val="none" w:sz="0" w:space="0" w:color="auto"/>
      </w:divBdr>
    </w:div>
    <w:div w:id="1450200221">
      <w:bodyDiv w:val="1"/>
      <w:marLeft w:val="0"/>
      <w:marRight w:val="0"/>
      <w:marTop w:val="0"/>
      <w:marBottom w:val="0"/>
      <w:divBdr>
        <w:top w:val="none" w:sz="0" w:space="0" w:color="auto"/>
        <w:left w:val="none" w:sz="0" w:space="0" w:color="auto"/>
        <w:bottom w:val="none" w:sz="0" w:space="0" w:color="auto"/>
        <w:right w:val="none" w:sz="0" w:space="0" w:color="auto"/>
      </w:divBdr>
    </w:div>
    <w:div w:id="1452286488">
      <w:bodyDiv w:val="1"/>
      <w:marLeft w:val="0"/>
      <w:marRight w:val="0"/>
      <w:marTop w:val="0"/>
      <w:marBottom w:val="0"/>
      <w:divBdr>
        <w:top w:val="none" w:sz="0" w:space="0" w:color="auto"/>
        <w:left w:val="none" w:sz="0" w:space="0" w:color="auto"/>
        <w:bottom w:val="none" w:sz="0" w:space="0" w:color="auto"/>
        <w:right w:val="none" w:sz="0" w:space="0" w:color="auto"/>
      </w:divBdr>
    </w:div>
    <w:div w:id="1527451067">
      <w:bodyDiv w:val="1"/>
      <w:marLeft w:val="0"/>
      <w:marRight w:val="0"/>
      <w:marTop w:val="0"/>
      <w:marBottom w:val="0"/>
      <w:divBdr>
        <w:top w:val="none" w:sz="0" w:space="0" w:color="auto"/>
        <w:left w:val="none" w:sz="0" w:space="0" w:color="auto"/>
        <w:bottom w:val="none" w:sz="0" w:space="0" w:color="auto"/>
        <w:right w:val="none" w:sz="0" w:space="0" w:color="auto"/>
      </w:divBdr>
    </w:div>
    <w:div w:id="1549992993">
      <w:bodyDiv w:val="1"/>
      <w:marLeft w:val="0"/>
      <w:marRight w:val="0"/>
      <w:marTop w:val="0"/>
      <w:marBottom w:val="0"/>
      <w:divBdr>
        <w:top w:val="none" w:sz="0" w:space="0" w:color="auto"/>
        <w:left w:val="none" w:sz="0" w:space="0" w:color="auto"/>
        <w:bottom w:val="none" w:sz="0" w:space="0" w:color="auto"/>
        <w:right w:val="none" w:sz="0" w:space="0" w:color="auto"/>
      </w:divBdr>
      <w:divsChild>
        <w:div w:id="537090013">
          <w:marLeft w:val="547"/>
          <w:marRight w:val="0"/>
          <w:marTop w:val="0"/>
          <w:marBottom w:val="0"/>
          <w:divBdr>
            <w:top w:val="none" w:sz="0" w:space="0" w:color="auto"/>
            <w:left w:val="none" w:sz="0" w:space="0" w:color="auto"/>
            <w:bottom w:val="none" w:sz="0" w:space="0" w:color="auto"/>
            <w:right w:val="none" w:sz="0" w:space="0" w:color="auto"/>
          </w:divBdr>
        </w:div>
      </w:divsChild>
    </w:div>
    <w:div w:id="1558857748">
      <w:bodyDiv w:val="1"/>
      <w:marLeft w:val="0"/>
      <w:marRight w:val="0"/>
      <w:marTop w:val="0"/>
      <w:marBottom w:val="0"/>
      <w:divBdr>
        <w:top w:val="none" w:sz="0" w:space="0" w:color="auto"/>
        <w:left w:val="none" w:sz="0" w:space="0" w:color="auto"/>
        <w:bottom w:val="none" w:sz="0" w:space="0" w:color="auto"/>
        <w:right w:val="none" w:sz="0" w:space="0" w:color="auto"/>
      </w:divBdr>
    </w:div>
    <w:div w:id="1580485673">
      <w:bodyDiv w:val="1"/>
      <w:marLeft w:val="0"/>
      <w:marRight w:val="0"/>
      <w:marTop w:val="0"/>
      <w:marBottom w:val="0"/>
      <w:divBdr>
        <w:top w:val="none" w:sz="0" w:space="0" w:color="auto"/>
        <w:left w:val="none" w:sz="0" w:space="0" w:color="auto"/>
        <w:bottom w:val="none" w:sz="0" w:space="0" w:color="auto"/>
        <w:right w:val="none" w:sz="0" w:space="0" w:color="auto"/>
      </w:divBdr>
    </w:div>
    <w:div w:id="1598518414">
      <w:bodyDiv w:val="1"/>
      <w:marLeft w:val="0"/>
      <w:marRight w:val="0"/>
      <w:marTop w:val="0"/>
      <w:marBottom w:val="0"/>
      <w:divBdr>
        <w:top w:val="none" w:sz="0" w:space="0" w:color="auto"/>
        <w:left w:val="none" w:sz="0" w:space="0" w:color="auto"/>
        <w:bottom w:val="none" w:sz="0" w:space="0" w:color="auto"/>
        <w:right w:val="none" w:sz="0" w:space="0" w:color="auto"/>
      </w:divBdr>
    </w:div>
    <w:div w:id="1611930062">
      <w:bodyDiv w:val="1"/>
      <w:marLeft w:val="0"/>
      <w:marRight w:val="0"/>
      <w:marTop w:val="0"/>
      <w:marBottom w:val="0"/>
      <w:divBdr>
        <w:top w:val="none" w:sz="0" w:space="0" w:color="auto"/>
        <w:left w:val="none" w:sz="0" w:space="0" w:color="auto"/>
        <w:bottom w:val="none" w:sz="0" w:space="0" w:color="auto"/>
        <w:right w:val="none" w:sz="0" w:space="0" w:color="auto"/>
      </w:divBdr>
    </w:div>
    <w:div w:id="1624965509">
      <w:bodyDiv w:val="1"/>
      <w:marLeft w:val="0"/>
      <w:marRight w:val="0"/>
      <w:marTop w:val="0"/>
      <w:marBottom w:val="0"/>
      <w:divBdr>
        <w:top w:val="none" w:sz="0" w:space="0" w:color="auto"/>
        <w:left w:val="none" w:sz="0" w:space="0" w:color="auto"/>
        <w:bottom w:val="none" w:sz="0" w:space="0" w:color="auto"/>
        <w:right w:val="none" w:sz="0" w:space="0" w:color="auto"/>
      </w:divBdr>
    </w:div>
    <w:div w:id="1657799362">
      <w:bodyDiv w:val="1"/>
      <w:marLeft w:val="0"/>
      <w:marRight w:val="0"/>
      <w:marTop w:val="0"/>
      <w:marBottom w:val="0"/>
      <w:divBdr>
        <w:top w:val="none" w:sz="0" w:space="0" w:color="auto"/>
        <w:left w:val="none" w:sz="0" w:space="0" w:color="auto"/>
        <w:bottom w:val="none" w:sz="0" w:space="0" w:color="auto"/>
        <w:right w:val="none" w:sz="0" w:space="0" w:color="auto"/>
      </w:divBdr>
    </w:div>
    <w:div w:id="1669552266">
      <w:bodyDiv w:val="1"/>
      <w:marLeft w:val="0"/>
      <w:marRight w:val="0"/>
      <w:marTop w:val="0"/>
      <w:marBottom w:val="0"/>
      <w:divBdr>
        <w:top w:val="none" w:sz="0" w:space="0" w:color="auto"/>
        <w:left w:val="none" w:sz="0" w:space="0" w:color="auto"/>
        <w:bottom w:val="none" w:sz="0" w:space="0" w:color="auto"/>
        <w:right w:val="none" w:sz="0" w:space="0" w:color="auto"/>
      </w:divBdr>
    </w:div>
    <w:div w:id="1727291491">
      <w:bodyDiv w:val="1"/>
      <w:marLeft w:val="0"/>
      <w:marRight w:val="0"/>
      <w:marTop w:val="0"/>
      <w:marBottom w:val="0"/>
      <w:divBdr>
        <w:top w:val="none" w:sz="0" w:space="0" w:color="auto"/>
        <w:left w:val="none" w:sz="0" w:space="0" w:color="auto"/>
        <w:bottom w:val="none" w:sz="0" w:space="0" w:color="auto"/>
        <w:right w:val="none" w:sz="0" w:space="0" w:color="auto"/>
      </w:divBdr>
      <w:divsChild>
        <w:div w:id="1536846534">
          <w:marLeft w:val="0"/>
          <w:marRight w:val="0"/>
          <w:marTop w:val="0"/>
          <w:marBottom w:val="0"/>
          <w:divBdr>
            <w:top w:val="none" w:sz="0" w:space="0" w:color="auto"/>
            <w:left w:val="none" w:sz="0" w:space="0" w:color="auto"/>
            <w:bottom w:val="none" w:sz="0" w:space="0" w:color="auto"/>
            <w:right w:val="none" w:sz="0" w:space="0" w:color="auto"/>
          </w:divBdr>
        </w:div>
      </w:divsChild>
    </w:div>
    <w:div w:id="1814710534">
      <w:bodyDiv w:val="1"/>
      <w:marLeft w:val="0"/>
      <w:marRight w:val="0"/>
      <w:marTop w:val="0"/>
      <w:marBottom w:val="0"/>
      <w:divBdr>
        <w:top w:val="none" w:sz="0" w:space="0" w:color="auto"/>
        <w:left w:val="none" w:sz="0" w:space="0" w:color="auto"/>
        <w:bottom w:val="none" w:sz="0" w:space="0" w:color="auto"/>
        <w:right w:val="none" w:sz="0" w:space="0" w:color="auto"/>
      </w:divBdr>
    </w:div>
    <w:div w:id="1833138434">
      <w:bodyDiv w:val="1"/>
      <w:marLeft w:val="0"/>
      <w:marRight w:val="0"/>
      <w:marTop w:val="0"/>
      <w:marBottom w:val="0"/>
      <w:divBdr>
        <w:top w:val="none" w:sz="0" w:space="0" w:color="auto"/>
        <w:left w:val="none" w:sz="0" w:space="0" w:color="auto"/>
        <w:bottom w:val="none" w:sz="0" w:space="0" w:color="auto"/>
        <w:right w:val="none" w:sz="0" w:space="0" w:color="auto"/>
      </w:divBdr>
    </w:div>
    <w:div w:id="1954706418">
      <w:bodyDiv w:val="1"/>
      <w:marLeft w:val="0"/>
      <w:marRight w:val="0"/>
      <w:marTop w:val="0"/>
      <w:marBottom w:val="0"/>
      <w:divBdr>
        <w:top w:val="none" w:sz="0" w:space="0" w:color="auto"/>
        <w:left w:val="none" w:sz="0" w:space="0" w:color="auto"/>
        <w:bottom w:val="none" w:sz="0" w:space="0" w:color="auto"/>
        <w:right w:val="none" w:sz="0" w:space="0" w:color="auto"/>
      </w:divBdr>
    </w:div>
    <w:div w:id="2084141996">
      <w:bodyDiv w:val="1"/>
      <w:marLeft w:val="0"/>
      <w:marRight w:val="0"/>
      <w:marTop w:val="0"/>
      <w:marBottom w:val="0"/>
      <w:divBdr>
        <w:top w:val="none" w:sz="0" w:space="0" w:color="auto"/>
        <w:left w:val="none" w:sz="0" w:space="0" w:color="auto"/>
        <w:bottom w:val="none" w:sz="0" w:space="0" w:color="auto"/>
        <w:right w:val="none" w:sz="0" w:space="0" w:color="auto"/>
      </w:divBdr>
    </w:div>
    <w:div w:id="2097554497">
      <w:bodyDiv w:val="1"/>
      <w:marLeft w:val="0"/>
      <w:marRight w:val="0"/>
      <w:marTop w:val="0"/>
      <w:marBottom w:val="0"/>
      <w:divBdr>
        <w:top w:val="none" w:sz="0" w:space="0" w:color="auto"/>
        <w:left w:val="none" w:sz="0" w:space="0" w:color="auto"/>
        <w:bottom w:val="none" w:sz="0" w:space="0" w:color="auto"/>
        <w:right w:val="none" w:sz="0" w:space="0" w:color="auto"/>
      </w:divBdr>
    </w:div>
    <w:div w:id="21436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tions@his.org.uk" TargetMode="External"/><Relationship Id="rId13" Type="http://schemas.openxmlformats.org/officeDocument/2006/relationships/hyperlink" Target="https://www.cdc.gov/infectioncontrol/guidelines/noroviru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wp-content/uploads/2021/04/B0271-national-standards-of-healthcare-cleanliness-2021.pdf.%20Last%20accessed%2003/05/20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ocess/pmg20/chapter/introduction" TargetMode="External"/><Relationship Id="rId5" Type="http://schemas.openxmlformats.org/officeDocument/2006/relationships/webSettings" Target="webSettings.xml"/><Relationship Id="rId15" Type="http://schemas.openxmlformats.org/officeDocument/2006/relationships/hyperlink" Target="https://www.england.nhs.uk/wp-content/uploads/2021/05/Social_care.pdf" TargetMode="External"/><Relationship Id="rId10" Type="http://schemas.openxmlformats.org/officeDocument/2006/relationships/hyperlink" Target="https://assets.publishing.service.gov.uk/government/uploads/system/uploads/attachment_data/file/322943/Guidance_for_managing_norovirus_outbreaks_in_healthcare_setting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ice.org.uk/about/what-we-do/accreditation" TargetMode="External"/><Relationship Id="rId14" Type="http://schemas.openxmlformats.org/officeDocument/2006/relationships/hyperlink" Target="https://assets.publishing.service.gov.uk/government/uploads/system/uploads/attachment_data/file/449049/Code_of_practice_280715_a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11D8-DF39-4B82-9BD2-7CA48219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9947</TotalTime>
  <Pages>134</Pages>
  <Words>62240</Words>
  <Characters>354772</Characters>
  <Application>Microsoft Office Word</Application>
  <DocSecurity>0</DocSecurity>
  <Lines>2956</Lines>
  <Paragraphs>832</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Mullish, Benjamin H</dc:creator>
  <cp:lastModifiedBy>Aggie Bak</cp:lastModifiedBy>
  <cp:revision>211</cp:revision>
  <cp:lastPrinted>2020-11-20T14:00:00Z</cp:lastPrinted>
  <dcterms:created xsi:type="dcterms:W3CDTF">2021-10-21T12:19:00Z</dcterms:created>
  <dcterms:modified xsi:type="dcterms:W3CDTF">2022-11-08T11:38:00Z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http://www.zotero.org/styles/journal-of-hospital-infection</vt:lpwstr>
  </property>
  <property fmtid="{D5CDD505-2E9C-101B-9397-08002B2CF9AE}" pid="15" name="Mendeley Recent Style Name 6_1">
    <vt:lpwstr>Journal of Hospital Infection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bd7b7df6-fbe5-3792-97b3-2fb600451666</vt:lpwstr>
  </property>
  <property fmtid="{D5CDD505-2E9C-101B-9397-08002B2CF9AE}" pid="24" name="Mendeley Citation Style_1">
    <vt:lpwstr>http://www.zotero.org/styles/journal-of-hospital-infection</vt:lpwstr>
  </property>
</Properties>
</file>